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90" w:rsidRDefault="00346290" w:rsidP="00346290">
      <w:pPr>
        <w:ind w:firstLine="709"/>
        <w:jc w:val="center"/>
        <w:rPr>
          <w:rFonts w:ascii="Times New Roman" w:eastAsia="Andale Sans UI" w:hAnsi="Times New Roman"/>
          <w:b/>
          <w:kern w:val="1"/>
          <w:lang w:eastAsia="fa-IR" w:bidi="fa-IR"/>
        </w:rPr>
      </w:pPr>
    </w:p>
    <w:p w:rsidR="00057C9E" w:rsidRPr="00C244BC" w:rsidRDefault="00057C9E" w:rsidP="00346290">
      <w:pPr>
        <w:ind w:firstLine="709"/>
        <w:jc w:val="center"/>
        <w:rPr>
          <w:rFonts w:ascii="Times New Roman" w:eastAsia="Andale Sans UI" w:hAnsi="Times New Roman"/>
          <w:b/>
          <w:kern w:val="1"/>
          <w:lang w:eastAsia="fa-IR" w:bidi="fa-IR"/>
        </w:rPr>
      </w:pPr>
      <w:r w:rsidRPr="00C244BC">
        <w:rPr>
          <w:rFonts w:ascii="Times New Roman" w:eastAsia="Andale Sans UI" w:hAnsi="Times New Roman"/>
          <w:b/>
          <w:kern w:val="1"/>
          <w:lang w:eastAsia="fa-IR" w:bidi="fa-IR"/>
        </w:rPr>
        <w:t>АНАЛИЗ</w:t>
      </w:r>
    </w:p>
    <w:p w:rsidR="00057C9E" w:rsidRPr="00057C9E" w:rsidRDefault="00057C9E" w:rsidP="00346290">
      <w:pPr>
        <w:widowControl w:val="0"/>
        <w:suppressAutoHyphens/>
        <w:ind w:firstLine="709"/>
        <w:jc w:val="center"/>
        <w:textAlignment w:val="baseline"/>
        <w:rPr>
          <w:rFonts w:ascii="Times New Roman" w:eastAsia="Andale Sans UI" w:hAnsi="Times New Roman"/>
          <w:b/>
          <w:kern w:val="1"/>
          <w:lang w:eastAsia="fa-IR" w:bidi="fa-IR"/>
        </w:rPr>
      </w:pPr>
      <w:r w:rsidRPr="00057C9E">
        <w:rPr>
          <w:rFonts w:ascii="Times New Roman" w:eastAsia="Andale Sans UI" w:hAnsi="Times New Roman"/>
          <w:b/>
          <w:kern w:val="1"/>
          <w:lang w:eastAsia="fa-IR" w:bidi="fa-IR"/>
        </w:rPr>
        <w:t xml:space="preserve">деятельности членов </w:t>
      </w:r>
      <w:r w:rsidR="008C32D7">
        <w:rPr>
          <w:rFonts w:ascii="Times New Roman" w:eastAsia="Andale Sans UI" w:hAnsi="Times New Roman"/>
          <w:b/>
          <w:kern w:val="1"/>
          <w:lang w:eastAsia="fa-IR" w:bidi="fa-IR"/>
        </w:rPr>
        <w:t>Ассоциации СРО «ППК»</w:t>
      </w:r>
    </w:p>
    <w:p w:rsidR="00057C9E" w:rsidRPr="00057C9E" w:rsidRDefault="00057C9E" w:rsidP="00346290">
      <w:pPr>
        <w:widowControl w:val="0"/>
        <w:suppressAutoHyphens/>
        <w:ind w:firstLine="709"/>
        <w:jc w:val="center"/>
        <w:textAlignment w:val="baseline"/>
        <w:rPr>
          <w:rFonts w:ascii="Times New Roman" w:eastAsia="Andale Sans UI" w:hAnsi="Times New Roman"/>
          <w:b/>
          <w:kern w:val="1"/>
          <w:lang w:eastAsia="fa-IR" w:bidi="fa-IR"/>
        </w:rPr>
      </w:pPr>
      <w:r w:rsidRPr="00057C9E">
        <w:rPr>
          <w:rFonts w:ascii="Times New Roman" w:eastAsia="Andale Sans UI" w:hAnsi="Times New Roman"/>
          <w:b/>
          <w:kern w:val="1"/>
          <w:lang w:eastAsia="fa-IR" w:bidi="fa-IR"/>
        </w:rPr>
        <w:t>на основе информации, представленной членами в форме отчетов</w:t>
      </w:r>
    </w:p>
    <w:p w:rsidR="00057C9E" w:rsidRDefault="00057C9E" w:rsidP="00346290">
      <w:pPr>
        <w:widowControl w:val="0"/>
        <w:suppressAutoHyphens/>
        <w:ind w:firstLine="709"/>
        <w:jc w:val="center"/>
        <w:textAlignment w:val="baseline"/>
        <w:rPr>
          <w:rFonts w:ascii="Times New Roman" w:eastAsia="Andale Sans UI" w:hAnsi="Times New Roman"/>
          <w:b/>
          <w:kern w:val="1"/>
          <w:lang w:eastAsia="fa-IR" w:bidi="fa-IR"/>
        </w:rPr>
      </w:pPr>
      <w:r w:rsidRPr="00057C9E">
        <w:rPr>
          <w:rFonts w:ascii="Times New Roman" w:eastAsia="Andale Sans UI" w:hAnsi="Times New Roman"/>
          <w:b/>
          <w:kern w:val="1"/>
          <w:lang w:eastAsia="fa-IR" w:bidi="fa-IR"/>
        </w:rPr>
        <w:t xml:space="preserve">за </w:t>
      </w:r>
      <w:r w:rsidR="00672A88">
        <w:rPr>
          <w:rFonts w:ascii="Times New Roman" w:eastAsia="Andale Sans UI" w:hAnsi="Times New Roman"/>
          <w:b/>
          <w:kern w:val="1"/>
          <w:lang w:eastAsia="fa-IR" w:bidi="fa-IR"/>
        </w:rPr>
        <w:t>20</w:t>
      </w:r>
      <w:r w:rsidR="004C2A63">
        <w:rPr>
          <w:rFonts w:ascii="Times New Roman" w:eastAsia="Andale Sans UI" w:hAnsi="Times New Roman"/>
          <w:b/>
          <w:kern w:val="1"/>
          <w:lang w:eastAsia="fa-IR" w:bidi="fa-IR"/>
        </w:rPr>
        <w:t>2</w:t>
      </w:r>
      <w:r w:rsidR="0070537B">
        <w:rPr>
          <w:rFonts w:ascii="Times New Roman" w:eastAsia="Andale Sans UI" w:hAnsi="Times New Roman"/>
          <w:b/>
          <w:kern w:val="1"/>
          <w:lang w:eastAsia="fa-IR" w:bidi="fa-IR"/>
        </w:rPr>
        <w:t>4</w:t>
      </w:r>
      <w:r w:rsidRPr="00057C9E">
        <w:rPr>
          <w:rFonts w:ascii="Times New Roman" w:eastAsia="Andale Sans UI" w:hAnsi="Times New Roman"/>
          <w:b/>
          <w:kern w:val="1"/>
          <w:lang w:eastAsia="fa-IR" w:bidi="fa-IR"/>
        </w:rPr>
        <w:t xml:space="preserve"> год</w:t>
      </w:r>
    </w:p>
    <w:p w:rsidR="00346290" w:rsidRPr="00057C9E" w:rsidRDefault="00346290" w:rsidP="00346290">
      <w:pPr>
        <w:widowControl w:val="0"/>
        <w:suppressAutoHyphens/>
        <w:ind w:firstLine="709"/>
        <w:jc w:val="center"/>
        <w:textAlignment w:val="baseline"/>
        <w:rPr>
          <w:rFonts w:ascii="Times New Roman" w:eastAsia="Andale Sans UI" w:hAnsi="Times New Roman"/>
          <w:kern w:val="1"/>
          <w:lang w:eastAsia="fa-IR" w:bidi="fa-IR"/>
        </w:rPr>
      </w:pPr>
    </w:p>
    <w:p w:rsidR="00057C9E" w:rsidRPr="00057C9E" w:rsidRDefault="0098551C" w:rsidP="00346290">
      <w:pPr>
        <w:widowControl w:val="0"/>
        <w:suppressAutoHyphens/>
        <w:ind w:firstLine="709"/>
        <w:jc w:val="both"/>
        <w:textAlignment w:val="baseline"/>
        <w:rPr>
          <w:rFonts w:ascii="Times New Roman" w:eastAsia="Andale Sans UI" w:hAnsi="Times New Roman"/>
          <w:kern w:val="1"/>
          <w:lang w:eastAsia="fa-IR" w:bidi="fa-IR"/>
        </w:rPr>
      </w:pPr>
      <w:r>
        <w:rPr>
          <w:rFonts w:ascii="Times New Roman" w:eastAsia="Andale Sans UI" w:hAnsi="Times New Roman"/>
          <w:kern w:val="1"/>
          <w:lang w:eastAsia="fa-IR" w:bidi="fa-IR"/>
        </w:rPr>
        <w:t xml:space="preserve"> </w:t>
      </w:r>
      <w:r w:rsidR="00057C9E" w:rsidRPr="00057C9E">
        <w:rPr>
          <w:rFonts w:ascii="Times New Roman" w:eastAsia="Andale Sans UI" w:hAnsi="Times New Roman"/>
          <w:kern w:val="1"/>
          <w:lang w:eastAsia="fa-IR" w:bidi="fa-IR"/>
        </w:rPr>
        <w:t xml:space="preserve">Настоящий анализ деятельности членов </w:t>
      </w:r>
      <w:r w:rsidR="00672A88">
        <w:rPr>
          <w:rFonts w:ascii="Times New Roman" w:eastAsia="Andale Sans UI" w:hAnsi="Times New Roman"/>
          <w:kern w:val="1"/>
          <w:lang w:eastAsia="fa-IR" w:bidi="fa-IR"/>
        </w:rPr>
        <w:t xml:space="preserve">Ассоциации </w:t>
      </w:r>
      <w:r w:rsidR="00057C9E" w:rsidRPr="00057C9E">
        <w:rPr>
          <w:rFonts w:ascii="Times New Roman" w:eastAsia="Andale Sans UI" w:hAnsi="Times New Roman"/>
          <w:kern w:val="1"/>
          <w:lang w:eastAsia="fa-IR" w:bidi="fa-IR"/>
        </w:rPr>
        <w:t xml:space="preserve">СРО </w:t>
      </w:r>
      <w:r w:rsidR="00672A88">
        <w:rPr>
          <w:rFonts w:ascii="Times New Roman" w:eastAsia="Andale Sans UI" w:hAnsi="Times New Roman"/>
          <w:kern w:val="1"/>
          <w:lang w:eastAsia="fa-IR" w:bidi="fa-IR"/>
        </w:rPr>
        <w:t>«</w:t>
      </w:r>
      <w:r w:rsidR="00790F68" w:rsidRPr="00C244BC">
        <w:rPr>
          <w:rFonts w:ascii="Times New Roman" w:eastAsia="Andale Sans UI" w:hAnsi="Times New Roman"/>
          <w:kern w:val="1"/>
          <w:lang w:eastAsia="fa-IR" w:bidi="fa-IR"/>
        </w:rPr>
        <w:t>ППК</w:t>
      </w:r>
      <w:r w:rsidR="00672A88">
        <w:rPr>
          <w:rFonts w:ascii="Times New Roman" w:eastAsia="Andale Sans UI" w:hAnsi="Times New Roman"/>
          <w:kern w:val="1"/>
          <w:lang w:eastAsia="fa-IR" w:bidi="fa-IR"/>
        </w:rPr>
        <w:t>»</w:t>
      </w:r>
      <w:r w:rsidR="00057C9E" w:rsidRPr="00057C9E">
        <w:rPr>
          <w:rFonts w:ascii="Times New Roman" w:eastAsia="Andale Sans UI" w:hAnsi="Times New Roman"/>
          <w:kern w:val="1"/>
          <w:lang w:eastAsia="fa-IR" w:bidi="fa-IR"/>
        </w:rPr>
        <w:t xml:space="preserve"> подготовлен в соответствии с пунктом 4 части 1 статьи 6 Федерального закона от 01.12.2007 № 315-ФЗ «О саморегулируемых организациях» и </w:t>
      </w:r>
      <w:r w:rsidR="00672A88" w:rsidRPr="00672A88">
        <w:rPr>
          <w:rFonts w:ascii="Times New Roman" w:eastAsia="Andale Sans UI" w:hAnsi="Times New Roman"/>
          <w:kern w:val="1"/>
          <w:lang w:eastAsia="fa-IR" w:bidi="fa-IR"/>
        </w:rPr>
        <w:t>Положение</w:t>
      </w:r>
      <w:r w:rsidR="00672A88">
        <w:rPr>
          <w:rFonts w:ascii="Times New Roman" w:eastAsia="Andale Sans UI" w:hAnsi="Times New Roman"/>
          <w:kern w:val="1"/>
          <w:lang w:eastAsia="fa-IR" w:bidi="fa-IR"/>
        </w:rPr>
        <w:t>м</w:t>
      </w:r>
      <w:r w:rsidR="00672A88" w:rsidRPr="00672A88">
        <w:rPr>
          <w:rFonts w:ascii="Times New Roman" w:eastAsia="Andale Sans UI" w:hAnsi="Times New Roman"/>
          <w:kern w:val="1"/>
          <w:lang w:eastAsia="fa-IR" w:bidi="fa-IR"/>
        </w:rPr>
        <w:t xml:space="preserve"> о проведении анализа деятельности членов Ассоциации Саморегулируемой организации «Проектировщики Приморского края»</w:t>
      </w:r>
      <w:r w:rsidR="00672A88">
        <w:rPr>
          <w:rFonts w:ascii="Times New Roman" w:eastAsia="Andale Sans UI" w:hAnsi="Times New Roman"/>
          <w:kern w:val="1"/>
          <w:lang w:eastAsia="fa-IR" w:bidi="fa-IR"/>
        </w:rPr>
        <w:t xml:space="preserve">, </w:t>
      </w:r>
      <w:r w:rsidR="00672A88" w:rsidRPr="00672A88">
        <w:rPr>
          <w:rFonts w:ascii="Times New Roman" w:eastAsia="Andale Sans UI" w:hAnsi="Times New Roman"/>
          <w:kern w:val="1"/>
          <w:lang w:eastAsia="fa-IR" w:bidi="fa-IR"/>
        </w:rPr>
        <w:t>на основании информации, предоставляемой ими в форме отчетов</w:t>
      </w:r>
      <w:r w:rsidR="000609E4">
        <w:rPr>
          <w:rFonts w:ascii="Times New Roman" w:eastAsia="Andale Sans UI" w:hAnsi="Times New Roman"/>
          <w:kern w:val="1"/>
          <w:lang w:eastAsia="fa-IR" w:bidi="fa-IR"/>
        </w:rPr>
        <w:t>.</w:t>
      </w:r>
    </w:p>
    <w:p w:rsidR="00B62210" w:rsidRPr="00E23D58" w:rsidRDefault="00BF3639" w:rsidP="00346290">
      <w:pPr>
        <w:ind w:firstLine="709"/>
        <w:jc w:val="both"/>
        <w:rPr>
          <w:rFonts w:ascii="Times New Roman" w:hAnsi="Times New Roman"/>
        </w:rPr>
      </w:pPr>
      <w:r>
        <w:rPr>
          <w:rFonts w:ascii="Times New Roman" w:hAnsi="Times New Roman"/>
        </w:rPr>
        <w:t xml:space="preserve">На </w:t>
      </w:r>
      <w:r w:rsidR="00E43009">
        <w:rPr>
          <w:rFonts w:ascii="Times New Roman" w:hAnsi="Times New Roman"/>
        </w:rPr>
        <w:t>01 января</w:t>
      </w:r>
      <w:r w:rsidR="00A52D03" w:rsidRPr="00A52D03">
        <w:rPr>
          <w:rFonts w:ascii="Times New Roman" w:hAnsi="Times New Roman"/>
        </w:rPr>
        <w:t xml:space="preserve"> 20</w:t>
      </w:r>
      <w:r w:rsidR="00163B5C">
        <w:rPr>
          <w:rFonts w:ascii="Times New Roman" w:hAnsi="Times New Roman"/>
        </w:rPr>
        <w:t>2</w:t>
      </w:r>
      <w:r w:rsidR="0070537B">
        <w:rPr>
          <w:rFonts w:ascii="Times New Roman" w:hAnsi="Times New Roman"/>
        </w:rPr>
        <w:t>5</w:t>
      </w:r>
      <w:r w:rsidR="00A52D03" w:rsidRPr="00A52D03">
        <w:rPr>
          <w:rFonts w:ascii="Times New Roman" w:hAnsi="Times New Roman"/>
        </w:rPr>
        <w:t xml:space="preserve"> года в составе членов </w:t>
      </w:r>
      <w:r w:rsidR="00672A88">
        <w:rPr>
          <w:rFonts w:ascii="Times New Roman" w:hAnsi="Times New Roman"/>
        </w:rPr>
        <w:t>Ассоциации</w:t>
      </w:r>
      <w:r w:rsidR="00B62210">
        <w:rPr>
          <w:rFonts w:ascii="Times New Roman" w:hAnsi="Times New Roman"/>
        </w:rPr>
        <w:t xml:space="preserve"> </w:t>
      </w:r>
      <w:r w:rsidR="00672A88">
        <w:rPr>
          <w:rFonts w:ascii="Times New Roman" w:hAnsi="Times New Roman"/>
        </w:rPr>
        <w:t>1</w:t>
      </w:r>
      <w:r w:rsidR="00770816">
        <w:rPr>
          <w:rFonts w:ascii="Times New Roman" w:hAnsi="Times New Roman"/>
        </w:rPr>
        <w:t>3</w:t>
      </w:r>
      <w:r w:rsidR="0070537B">
        <w:rPr>
          <w:rFonts w:ascii="Times New Roman" w:hAnsi="Times New Roman"/>
        </w:rPr>
        <w:t>0</w:t>
      </w:r>
      <w:r w:rsidR="00A52D03" w:rsidRPr="00A52D03">
        <w:rPr>
          <w:rFonts w:ascii="Times New Roman" w:hAnsi="Times New Roman"/>
        </w:rPr>
        <w:t xml:space="preserve"> предприяти</w:t>
      </w:r>
      <w:r w:rsidR="00627BDA">
        <w:rPr>
          <w:rFonts w:ascii="Times New Roman" w:hAnsi="Times New Roman"/>
        </w:rPr>
        <w:t>я</w:t>
      </w:r>
      <w:r w:rsidR="00A52D03" w:rsidRPr="00A52D03">
        <w:rPr>
          <w:rFonts w:ascii="Times New Roman" w:hAnsi="Times New Roman"/>
        </w:rPr>
        <w:t xml:space="preserve"> проектной отрасли</w:t>
      </w:r>
      <w:r w:rsidR="00A52D03">
        <w:rPr>
          <w:rFonts w:ascii="Times New Roman" w:hAnsi="Times New Roman"/>
        </w:rPr>
        <w:t>.</w:t>
      </w:r>
      <w:r w:rsidR="009B785B" w:rsidRPr="009B785B">
        <w:rPr>
          <w:rFonts w:ascii="Times New Roman" w:hAnsi="Times New Roman"/>
        </w:rPr>
        <w:t xml:space="preserve"> За </w:t>
      </w:r>
      <w:r w:rsidR="00073A22">
        <w:rPr>
          <w:rFonts w:ascii="Times New Roman" w:hAnsi="Times New Roman"/>
        </w:rPr>
        <w:t>20</w:t>
      </w:r>
      <w:r w:rsidR="00770816">
        <w:rPr>
          <w:rFonts w:ascii="Times New Roman" w:hAnsi="Times New Roman"/>
        </w:rPr>
        <w:t>2</w:t>
      </w:r>
      <w:r w:rsidR="0070537B">
        <w:rPr>
          <w:rFonts w:ascii="Times New Roman" w:hAnsi="Times New Roman"/>
        </w:rPr>
        <w:t>4</w:t>
      </w:r>
      <w:r w:rsidR="00FB0802">
        <w:rPr>
          <w:rFonts w:ascii="Times New Roman" w:hAnsi="Times New Roman"/>
        </w:rPr>
        <w:t xml:space="preserve"> </w:t>
      </w:r>
      <w:r w:rsidR="00073A22">
        <w:rPr>
          <w:rFonts w:ascii="Times New Roman" w:hAnsi="Times New Roman"/>
        </w:rPr>
        <w:t>г.</w:t>
      </w:r>
      <w:r w:rsidR="009B785B" w:rsidRPr="009B785B">
        <w:rPr>
          <w:rFonts w:ascii="Times New Roman" w:hAnsi="Times New Roman"/>
        </w:rPr>
        <w:t xml:space="preserve"> в Ассоциацию были приняты </w:t>
      </w:r>
      <w:r w:rsidR="0070537B">
        <w:rPr>
          <w:rFonts w:ascii="Times New Roman" w:hAnsi="Times New Roman"/>
        </w:rPr>
        <w:t>7</w:t>
      </w:r>
      <w:r w:rsidR="009B785B" w:rsidRPr="009B785B">
        <w:rPr>
          <w:rFonts w:ascii="Times New Roman" w:hAnsi="Times New Roman"/>
        </w:rPr>
        <w:t xml:space="preserve"> компаний.   За отчетный период </w:t>
      </w:r>
      <w:r w:rsidR="0070537B">
        <w:rPr>
          <w:rFonts w:ascii="Times New Roman" w:hAnsi="Times New Roman"/>
        </w:rPr>
        <w:t>8</w:t>
      </w:r>
      <w:r w:rsidR="009B785B" w:rsidRPr="009B785B">
        <w:rPr>
          <w:rFonts w:ascii="Times New Roman" w:hAnsi="Times New Roman"/>
        </w:rPr>
        <w:t xml:space="preserve"> компаний прекратили членство в Ассоциации, </w:t>
      </w:r>
      <w:r w:rsidR="0070537B">
        <w:rPr>
          <w:rFonts w:ascii="Times New Roman" w:hAnsi="Times New Roman"/>
        </w:rPr>
        <w:t>6</w:t>
      </w:r>
      <w:r w:rsidR="00AD4D62">
        <w:rPr>
          <w:rFonts w:ascii="Times New Roman" w:hAnsi="Times New Roman"/>
        </w:rPr>
        <w:t xml:space="preserve"> организаций</w:t>
      </w:r>
      <w:r w:rsidR="009B785B" w:rsidRPr="009B785B">
        <w:rPr>
          <w:rFonts w:ascii="Times New Roman" w:hAnsi="Times New Roman"/>
        </w:rPr>
        <w:t xml:space="preserve"> </w:t>
      </w:r>
      <w:r w:rsidR="00627BDA">
        <w:rPr>
          <w:rFonts w:ascii="Times New Roman" w:hAnsi="Times New Roman"/>
        </w:rPr>
        <w:t xml:space="preserve">прекратили членство </w:t>
      </w:r>
      <w:r w:rsidR="009B785B" w:rsidRPr="009B785B">
        <w:rPr>
          <w:rFonts w:ascii="Times New Roman" w:hAnsi="Times New Roman"/>
        </w:rPr>
        <w:t>по заявлению о добровольном выходе (в связи с ликвидацией организации</w:t>
      </w:r>
      <w:r w:rsidR="000E4F72">
        <w:rPr>
          <w:rFonts w:ascii="Times New Roman" w:hAnsi="Times New Roman"/>
        </w:rPr>
        <w:t xml:space="preserve"> или прекращением проектной деятельности</w:t>
      </w:r>
      <w:r w:rsidR="009B785B" w:rsidRPr="009B785B">
        <w:rPr>
          <w:rFonts w:ascii="Times New Roman" w:hAnsi="Times New Roman"/>
        </w:rPr>
        <w:t xml:space="preserve">) и </w:t>
      </w:r>
      <w:r w:rsidR="00061760">
        <w:rPr>
          <w:rFonts w:ascii="Times New Roman" w:hAnsi="Times New Roman"/>
        </w:rPr>
        <w:t>2</w:t>
      </w:r>
      <w:r w:rsidR="009B785B" w:rsidRPr="009B785B">
        <w:rPr>
          <w:rFonts w:ascii="Times New Roman" w:hAnsi="Times New Roman"/>
        </w:rPr>
        <w:t xml:space="preserve"> организаци</w:t>
      </w:r>
      <w:r w:rsidR="00061760">
        <w:rPr>
          <w:rFonts w:ascii="Times New Roman" w:hAnsi="Times New Roman"/>
        </w:rPr>
        <w:t>и</w:t>
      </w:r>
      <w:r w:rsidR="009B785B" w:rsidRPr="009B785B">
        <w:rPr>
          <w:rFonts w:ascii="Times New Roman" w:hAnsi="Times New Roman"/>
        </w:rPr>
        <w:t xml:space="preserve"> был</w:t>
      </w:r>
      <w:r w:rsidR="00061760">
        <w:rPr>
          <w:rFonts w:ascii="Times New Roman" w:hAnsi="Times New Roman"/>
        </w:rPr>
        <w:t>и</w:t>
      </w:r>
      <w:r w:rsidR="009B785B" w:rsidRPr="009B785B">
        <w:rPr>
          <w:rFonts w:ascii="Times New Roman" w:hAnsi="Times New Roman"/>
        </w:rPr>
        <w:t xml:space="preserve"> исключен</w:t>
      </w:r>
      <w:r w:rsidR="00061760">
        <w:rPr>
          <w:rFonts w:ascii="Times New Roman" w:hAnsi="Times New Roman"/>
        </w:rPr>
        <w:t>ы</w:t>
      </w:r>
      <w:r w:rsidR="009B785B" w:rsidRPr="009B785B">
        <w:rPr>
          <w:rFonts w:ascii="Times New Roman" w:hAnsi="Times New Roman"/>
        </w:rPr>
        <w:t xml:space="preserve"> из состава СРО за нарушения условий членства.</w:t>
      </w:r>
    </w:p>
    <w:p w:rsidR="00553344" w:rsidRDefault="00563D8D" w:rsidP="00346290">
      <w:pPr>
        <w:ind w:firstLine="709"/>
        <w:jc w:val="both"/>
        <w:rPr>
          <w:rFonts w:ascii="Times New Roman" w:hAnsi="Times New Roman"/>
        </w:rPr>
      </w:pPr>
      <w:r>
        <w:rPr>
          <w:rFonts w:ascii="Times New Roman" w:hAnsi="Times New Roman"/>
        </w:rPr>
        <w:t>Г</w:t>
      </w:r>
      <w:r w:rsidR="00E23D58">
        <w:rPr>
          <w:rFonts w:ascii="Times New Roman" w:hAnsi="Times New Roman"/>
        </w:rPr>
        <w:t>рафик</w:t>
      </w:r>
      <w:r>
        <w:rPr>
          <w:rFonts w:ascii="Times New Roman" w:hAnsi="Times New Roman"/>
        </w:rPr>
        <w:t xml:space="preserve"> ниже показыва</w:t>
      </w:r>
      <w:r w:rsidR="00E10453">
        <w:rPr>
          <w:rFonts w:ascii="Times New Roman" w:hAnsi="Times New Roman"/>
        </w:rPr>
        <w:t>е</w:t>
      </w:r>
      <w:r>
        <w:rPr>
          <w:rFonts w:ascii="Times New Roman" w:hAnsi="Times New Roman"/>
        </w:rPr>
        <w:t xml:space="preserve">т </w:t>
      </w:r>
      <w:r w:rsidR="00E10453">
        <w:rPr>
          <w:rFonts w:ascii="Times New Roman" w:hAnsi="Times New Roman"/>
        </w:rPr>
        <w:t xml:space="preserve">динамику прироста количества членов Ассоциации </w:t>
      </w:r>
      <w:r w:rsidR="009B785B">
        <w:rPr>
          <w:rFonts w:ascii="Times New Roman" w:hAnsi="Times New Roman"/>
        </w:rPr>
        <w:t>с 201</w:t>
      </w:r>
      <w:r w:rsidR="00770816">
        <w:rPr>
          <w:rFonts w:ascii="Times New Roman" w:hAnsi="Times New Roman"/>
        </w:rPr>
        <w:t>6</w:t>
      </w:r>
      <w:r w:rsidR="009B785B">
        <w:rPr>
          <w:rFonts w:ascii="Times New Roman" w:hAnsi="Times New Roman"/>
        </w:rPr>
        <w:t xml:space="preserve"> по 20</w:t>
      </w:r>
      <w:r w:rsidR="00FB0802">
        <w:rPr>
          <w:rFonts w:ascii="Times New Roman" w:hAnsi="Times New Roman"/>
        </w:rPr>
        <w:t>2</w:t>
      </w:r>
      <w:r w:rsidR="0070537B">
        <w:rPr>
          <w:rFonts w:ascii="Times New Roman" w:hAnsi="Times New Roman"/>
        </w:rPr>
        <w:t>4</w:t>
      </w:r>
      <w:r w:rsidR="009B785B">
        <w:rPr>
          <w:rFonts w:ascii="Times New Roman" w:hAnsi="Times New Roman"/>
        </w:rPr>
        <w:t xml:space="preserve"> гг.</w:t>
      </w:r>
      <w:r w:rsidR="00E10453">
        <w:rPr>
          <w:rFonts w:ascii="Times New Roman" w:hAnsi="Times New Roman"/>
        </w:rPr>
        <w:t xml:space="preserve">, а также </w:t>
      </w:r>
      <w:r w:rsidR="00770816">
        <w:rPr>
          <w:rFonts w:ascii="Times New Roman" w:hAnsi="Times New Roman"/>
        </w:rPr>
        <w:t xml:space="preserve">изменения </w:t>
      </w:r>
      <w:r w:rsidR="00E10453">
        <w:rPr>
          <w:rFonts w:ascii="Times New Roman" w:hAnsi="Times New Roman"/>
        </w:rPr>
        <w:t xml:space="preserve">количества </w:t>
      </w:r>
      <w:r>
        <w:rPr>
          <w:rFonts w:ascii="Times New Roman" w:hAnsi="Times New Roman"/>
        </w:rPr>
        <w:t>выбывших организа</w:t>
      </w:r>
      <w:r w:rsidR="00346290">
        <w:rPr>
          <w:rFonts w:ascii="Times New Roman" w:hAnsi="Times New Roman"/>
        </w:rPr>
        <w:t>ций</w:t>
      </w:r>
      <w:r w:rsidR="00E10453">
        <w:rPr>
          <w:rFonts w:ascii="Times New Roman" w:hAnsi="Times New Roman"/>
        </w:rPr>
        <w:t>.</w:t>
      </w:r>
      <w:r w:rsidR="00346290">
        <w:rPr>
          <w:rFonts w:ascii="Times New Roman" w:hAnsi="Times New Roman"/>
        </w:rPr>
        <w:t xml:space="preserve"> </w:t>
      </w:r>
    </w:p>
    <w:p w:rsidR="00553344" w:rsidRDefault="00553344" w:rsidP="00346290">
      <w:pPr>
        <w:ind w:firstLine="709"/>
        <w:jc w:val="both"/>
        <w:rPr>
          <w:rFonts w:ascii="Times New Roman" w:hAnsi="Times New Roman"/>
        </w:rPr>
      </w:pPr>
    </w:p>
    <w:p w:rsidR="00E23D58" w:rsidRDefault="00E23D58" w:rsidP="00553344">
      <w:pPr>
        <w:jc w:val="both"/>
        <w:rPr>
          <w:rFonts w:ascii="Times New Roman" w:hAnsi="Times New Roman"/>
        </w:rPr>
      </w:pPr>
      <w:r>
        <w:rPr>
          <w:rFonts w:ascii="Times New Roman" w:hAnsi="Times New Roman"/>
          <w:noProof/>
          <w:lang w:eastAsia="ru-RU"/>
        </w:rPr>
        <w:drawing>
          <wp:inline distT="0" distB="0" distL="0" distR="0" wp14:anchorId="0695688F" wp14:editId="2CD8EC80">
            <wp:extent cx="5848350" cy="2362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32D7" w:rsidRDefault="008C32D7" w:rsidP="00346290">
      <w:pPr>
        <w:ind w:firstLine="709"/>
        <w:jc w:val="both"/>
        <w:rPr>
          <w:rFonts w:ascii="Times New Roman" w:hAnsi="Times New Roman"/>
        </w:rPr>
      </w:pPr>
    </w:p>
    <w:p w:rsidR="00E23D58" w:rsidRDefault="00DE31CA" w:rsidP="00346290">
      <w:pPr>
        <w:ind w:firstLine="709"/>
        <w:jc w:val="both"/>
        <w:rPr>
          <w:rFonts w:ascii="Times New Roman" w:hAnsi="Times New Roman"/>
        </w:rPr>
      </w:pPr>
      <w:r>
        <w:rPr>
          <w:rFonts w:ascii="Times New Roman" w:hAnsi="Times New Roman"/>
        </w:rPr>
        <w:t xml:space="preserve">Следующая </w:t>
      </w:r>
      <w:r w:rsidR="002915AB">
        <w:rPr>
          <w:rFonts w:ascii="Times New Roman" w:hAnsi="Times New Roman"/>
        </w:rPr>
        <w:t>диаграмм</w:t>
      </w:r>
      <w:r>
        <w:rPr>
          <w:rFonts w:ascii="Times New Roman" w:hAnsi="Times New Roman"/>
        </w:rPr>
        <w:t xml:space="preserve">а </w:t>
      </w:r>
      <w:proofErr w:type="gramStart"/>
      <w:r>
        <w:rPr>
          <w:rFonts w:ascii="Times New Roman" w:hAnsi="Times New Roman"/>
        </w:rPr>
        <w:t xml:space="preserve">демонстрирует </w:t>
      </w:r>
      <w:r w:rsidR="002915AB">
        <w:rPr>
          <w:rFonts w:ascii="Times New Roman" w:hAnsi="Times New Roman"/>
        </w:rPr>
        <w:t xml:space="preserve"> </w:t>
      </w:r>
      <w:r w:rsidR="00073A22">
        <w:rPr>
          <w:rFonts w:ascii="Times New Roman" w:hAnsi="Times New Roman"/>
        </w:rPr>
        <w:t>изменения</w:t>
      </w:r>
      <w:proofErr w:type="gramEnd"/>
      <w:r w:rsidR="00073A22">
        <w:rPr>
          <w:rFonts w:ascii="Times New Roman" w:hAnsi="Times New Roman"/>
        </w:rPr>
        <w:t xml:space="preserve"> соотношения</w:t>
      </w:r>
      <w:r w:rsidRPr="00DE31CA">
        <w:rPr>
          <w:rFonts w:ascii="Times New Roman" w:hAnsi="Times New Roman"/>
        </w:rPr>
        <w:t xml:space="preserve"> </w:t>
      </w:r>
      <w:r>
        <w:rPr>
          <w:rFonts w:ascii="Times New Roman" w:hAnsi="Times New Roman"/>
        </w:rPr>
        <w:t xml:space="preserve">добровольно вышедших организаций </w:t>
      </w:r>
      <w:r w:rsidRPr="00DE31CA">
        <w:rPr>
          <w:rFonts w:ascii="Times New Roman" w:hAnsi="Times New Roman"/>
        </w:rPr>
        <w:t xml:space="preserve">к </w:t>
      </w:r>
      <w:r>
        <w:rPr>
          <w:rFonts w:ascii="Times New Roman" w:hAnsi="Times New Roman"/>
        </w:rPr>
        <w:t>исключенным членам Ассоциации в сравнении 2016</w:t>
      </w:r>
      <w:r w:rsidR="00E5701C">
        <w:rPr>
          <w:rFonts w:ascii="Times New Roman" w:hAnsi="Times New Roman"/>
        </w:rPr>
        <w:t>-20</w:t>
      </w:r>
      <w:r w:rsidR="00FB0802">
        <w:rPr>
          <w:rFonts w:ascii="Times New Roman" w:hAnsi="Times New Roman"/>
        </w:rPr>
        <w:t>2</w:t>
      </w:r>
      <w:r w:rsidR="00061760">
        <w:rPr>
          <w:rFonts w:ascii="Times New Roman" w:hAnsi="Times New Roman"/>
        </w:rPr>
        <w:t>3</w:t>
      </w:r>
      <w:r w:rsidR="00FB0802">
        <w:rPr>
          <w:rFonts w:ascii="Times New Roman" w:hAnsi="Times New Roman"/>
        </w:rPr>
        <w:t xml:space="preserve"> </w:t>
      </w:r>
      <w:r w:rsidR="00E5701C">
        <w:rPr>
          <w:rFonts w:ascii="Times New Roman" w:hAnsi="Times New Roman"/>
        </w:rPr>
        <w:t>г</w:t>
      </w:r>
      <w:r>
        <w:rPr>
          <w:rFonts w:ascii="Times New Roman" w:hAnsi="Times New Roman"/>
        </w:rPr>
        <w:t>г. и отчетного периода.</w:t>
      </w:r>
      <w:r w:rsidR="002915AB">
        <w:rPr>
          <w:rFonts w:ascii="Times New Roman" w:hAnsi="Times New Roman"/>
        </w:rPr>
        <w:t xml:space="preserve"> </w:t>
      </w:r>
    </w:p>
    <w:p w:rsidR="00553344" w:rsidRDefault="0003482F" w:rsidP="0003482F">
      <w:pPr>
        <w:rPr>
          <w:rFonts w:ascii="Times New Roman" w:hAnsi="Times New Roman"/>
        </w:rPr>
      </w:pPr>
      <w:r>
        <w:rPr>
          <w:rFonts w:ascii="Times New Roman" w:hAnsi="Times New Roman"/>
          <w:noProof/>
          <w:lang w:eastAsia="ru-RU"/>
        </w:rPr>
        <w:drawing>
          <wp:inline distT="0" distB="0" distL="0" distR="0" wp14:anchorId="32864642" wp14:editId="64422D3D">
            <wp:extent cx="5940425" cy="2539129"/>
            <wp:effectExtent l="0" t="0" r="31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482F" w:rsidRDefault="0003482F" w:rsidP="00346290">
      <w:pPr>
        <w:ind w:firstLine="709"/>
        <w:jc w:val="both"/>
        <w:rPr>
          <w:rFonts w:ascii="Times New Roman" w:hAnsi="Times New Roman"/>
        </w:rPr>
      </w:pPr>
    </w:p>
    <w:p w:rsidR="00FE5E1A" w:rsidRDefault="009215FD" w:rsidP="009215FD">
      <w:pPr>
        <w:ind w:firstLine="709"/>
        <w:jc w:val="both"/>
        <w:rPr>
          <w:rFonts w:ascii="Times New Roman" w:hAnsi="Times New Roman"/>
        </w:rPr>
      </w:pPr>
      <w:r w:rsidRPr="009215FD">
        <w:rPr>
          <w:rFonts w:ascii="Times New Roman" w:hAnsi="Times New Roman"/>
        </w:rPr>
        <w:lastRenderedPageBreak/>
        <w:t xml:space="preserve">Большая часть компаний, входящих в состав </w:t>
      </w:r>
      <w:r>
        <w:rPr>
          <w:rFonts w:ascii="Times New Roman" w:hAnsi="Times New Roman"/>
        </w:rPr>
        <w:t>Ассоциации</w:t>
      </w:r>
      <w:r w:rsidRPr="009215FD">
        <w:rPr>
          <w:rFonts w:ascii="Times New Roman" w:hAnsi="Times New Roman"/>
        </w:rPr>
        <w:t xml:space="preserve">, ведёт </w:t>
      </w:r>
      <w:r>
        <w:rPr>
          <w:rFonts w:ascii="Times New Roman" w:hAnsi="Times New Roman"/>
        </w:rPr>
        <w:t xml:space="preserve">комплексную </w:t>
      </w:r>
      <w:r w:rsidRPr="009215FD">
        <w:rPr>
          <w:rFonts w:ascii="Times New Roman" w:hAnsi="Times New Roman"/>
        </w:rPr>
        <w:t xml:space="preserve">работу </w:t>
      </w:r>
      <w:r>
        <w:rPr>
          <w:rFonts w:ascii="Times New Roman" w:hAnsi="Times New Roman"/>
        </w:rPr>
        <w:t xml:space="preserve">по подготовке </w:t>
      </w:r>
      <w:r w:rsidRPr="009215FD">
        <w:rPr>
          <w:rFonts w:ascii="Times New Roman" w:hAnsi="Times New Roman"/>
        </w:rPr>
        <w:t xml:space="preserve">проектной </w:t>
      </w:r>
      <w:r>
        <w:rPr>
          <w:rFonts w:ascii="Times New Roman" w:hAnsi="Times New Roman"/>
        </w:rPr>
        <w:t>документации</w:t>
      </w:r>
      <w:r w:rsidRPr="009215FD">
        <w:rPr>
          <w:rFonts w:ascii="Times New Roman" w:hAnsi="Times New Roman"/>
        </w:rPr>
        <w:t>.</w:t>
      </w:r>
      <w:r w:rsidR="00DB4865">
        <w:rPr>
          <w:rFonts w:ascii="Times New Roman" w:hAnsi="Times New Roman"/>
        </w:rPr>
        <w:t xml:space="preserve"> </w:t>
      </w:r>
      <w:r w:rsidR="00E5701C">
        <w:rPr>
          <w:rFonts w:ascii="Times New Roman" w:hAnsi="Times New Roman"/>
        </w:rPr>
        <w:t>Распределение организаций по основному виду деятельности</w:t>
      </w:r>
      <w:r w:rsidR="00FE5E1A">
        <w:rPr>
          <w:rFonts w:ascii="Times New Roman" w:hAnsi="Times New Roman"/>
        </w:rPr>
        <w:t xml:space="preserve"> </w:t>
      </w:r>
      <w:r w:rsidR="008C32D7">
        <w:rPr>
          <w:rFonts w:ascii="Times New Roman" w:hAnsi="Times New Roman"/>
        </w:rPr>
        <w:t xml:space="preserve">в процентном эквиваленте </w:t>
      </w:r>
      <w:r w:rsidR="00FE5E1A">
        <w:rPr>
          <w:rFonts w:ascii="Times New Roman" w:hAnsi="Times New Roman"/>
        </w:rPr>
        <w:t>представлено в диаграмме ниже.</w:t>
      </w:r>
    </w:p>
    <w:p w:rsidR="008C32D7" w:rsidRDefault="008C32D7" w:rsidP="009215FD">
      <w:pPr>
        <w:ind w:firstLine="709"/>
        <w:jc w:val="both"/>
        <w:rPr>
          <w:rFonts w:ascii="Times New Roman" w:hAnsi="Times New Roman"/>
        </w:rPr>
      </w:pPr>
    </w:p>
    <w:p w:rsidR="00DE31CA" w:rsidRDefault="00FE5E1A" w:rsidP="009F02E9">
      <w:pPr>
        <w:jc w:val="both"/>
        <w:rPr>
          <w:rFonts w:ascii="Times New Roman" w:hAnsi="Times New Roman"/>
        </w:rPr>
      </w:pPr>
      <w:r>
        <w:rPr>
          <w:rFonts w:ascii="Times New Roman" w:hAnsi="Times New Roman"/>
          <w:noProof/>
          <w:lang w:eastAsia="ru-RU"/>
        </w:rPr>
        <w:drawing>
          <wp:inline distT="0" distB="0" distL="0" distR="0">
            <wp:extent cx="5991225" cy="29241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31CA" w:rsidRDefault="00DE31CA" w:rsidP="00346290">
      <w:pPr>
        <w:ind w:firstLine="709"/>
        <w:jc w:val="both"/>
        <w:rPr>
          <w:rFonts w:ascii="Times New Roman" w:hAnsi="Times New Roman"/>
        </w:rPr>
      </w:pPr>
    </w:p>
    <w:p w:rsidR="00DE6AB6" w:rsidRDefault="00073A22" w:rsidP="0099753B">
      <w:pPr>
        <w:ind w:firstLine="709"/>
        <w:jc w:val="both"/>
        <w:rPr>
          <w:rFonts w:ascii="Times New Roman" w:hAnsi="Times New Roman"/>
        </w:rPr>
      </w:pPr>
      <w:r>
        <w:rPr>
          <w:rFonts w:ascii="Times New Roman" w:hAnsi="Times New Roman"/>
        </w:rPr>
        <w:t>К</w:t>
      </w:r>
      <w:r w:rsidR="0099753B">
        <w:rPr>
          <w:rFonts w:ascii="Times New Roman" w:hAnsi="Times New Roman"/>
        </w:rPr>
        <w:t>оличество работников в организациях,</w:t>
      </w:r>
      <w:r w:rsidR="0099753B" w:rsidRPr="00C244BC">
        <w:rPr>
          <w:rFonts w:ascii="Times New Roman" w:hAnsi="Times New Roman"/>
        </w:rPr>
        <w:t xml:space="preserve"> занятых подготовкой </w:t>
      </w:r>
      <w:proofErr w:type="gramStart"/>
      <w:r w:rsidR="0099753B" w:rsidRPr="00C244BC">
        <w:rPr>
          <w:rFonts w:ascii="Times New Roman" w:hAnsi="Times New Roman"/>
        </w:rPr>
        <w:t>проектной  документации</w:t>
      </w:r>
      <w:proofErr w:type="gramEnd"/>
      <w:r w:rsidR="00AD4D62">
        <w:rPr>
          <w:rFonts w:ascii="Times New Roman" w:hAnsi="Times New Roman"/>
        </w:rPr>
        <w:t xml:space="preserve"> варьируется от 2 до</w:t>
      </w:r>
      <w:r w:rsidR="0070537B">
        <w:rPr>
          <w:rFonts w:ascii="Times New Roman" w:hAnsi="Times New Roman"/>
        </w:rPr>
        <w:t xml:space="preserve"> 40</w:t>
      </w:r>
      <w:r>
        <w:rPr>
          <w:rFonts w:ascii="Times New Roman" w:hAnsi="Times New Roman"/>
        </w:rPr>
        <w:t xml:space="preserve"> специалистов</w:t>
      </w:r>
      <w:r w:rsidR="0099753B">
        <w:rPr>
          <w:rFonts w:ascii="Times New Roman" w:hAnsi="Times New Roman"/>
        </w:rPr>
        <w:t>.</w:t>
      </w:r>
      <w:r w:rsidR="00DE6AB6">
        <w:rPr>
          <w:rFonts w:ascii="Times New Roman" w:hAnsi="Times New Roman"/>
        </w:rPr>
        <w:t xml:space="preserve"> </w:t>
      </w:r>
    </w:p>
    <w:p w:rsidR="00553344" w:rsidRDefault="00553344" w:rsidP="00553344">
      <w:pPr>
        <w:ind w:firstLine="709"/>
        <w:jc w:val="center"/>
        <w:rPr>
          <w:rFonts w:ascii="Times New Roman" w:hAnsi="Times New Roman"/>
        </w:rPr>
      </w:pPr>
    </w:p>
    <w:p w:rsidR="0099753B" w:rsidRPr="00C244BC" w:rsidRDefault="00553344" w:rsidP="00553344">
      <w:pPr>
        <w:ind w:firstLine="709"/>
        <w:jc w:val="center"/>
        <w:rPr>
          <w:rFonts w:ascii="Times New Roman" w:hAnsi="Times New Roman"/>
          <w:color w:val="FF0000"/>
        </w:rPr>
      </w:pPr>
      <w:r>
        <w:rPr>
          <w:rFonts w:ascii="Times New Roman" w:hAnsi="Times New Roman"/>
        </w:rPr>
        <w:t>Динамика изменения количественного состава проектировщиков в организациях:</w:t>
      </w:r>
    </w:p>
    <w:p w:rsidR="008C32D7" w:rsidRDefault="0099753B" w:rsidP="008C32D7">
      <w:pPr>
        <w:keepNext/>
        <w:jc w:val="both"/>
      </w:pPr>
      <w:r>
        <w:rPr>
          <w:rFonts w:ascii="Times New Roman" w:hAnsi="Times New Roman"/>
          <w:noProof/>
          <w:lang w:eastAsia="ru-RU"/>
        </w:rPr>
        <w:drawing>
          <wp:inline distT="0" distB="0" distL="0" distR="0" wp14:anchorId="45F8E817" wp14:editId="78EC9E62">
            <wp:extent cx="5991225" cy="17049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53B" w:rsidRDefault="0099753B" w:rsidP="0099753B">
      <w:pPr>
        <w:ind w:firstLine="709"/>
        <w:jc w:val="both"/>
        <w:rPr>
          <w:rFonts w:ascii="Times New Roman" w:hAnsi="Times New Roman"/>
        </w:rPr>
      </w:pPr>
    </w:p>
    <w:p w:rsidR="00DE31CA" w:rsidRDefault="0003482F" w:rsidP="00346290">
      <w:pPr>
        <w:ind w:firstLine="709"/>
        <w:jc w:val="both"/>
        <w:rPr>
          <w:rFonts w:ascii="Times New Roman" w:hAnsi="Times New Roman"/>
        </w:rPr>
      </w:pPr>
      <w:r>
        <w:rPr>
          <w:rFonts w:ascii="Times New Roman" w:hAnsi="Times New Roman"/>
        </w:rPr>
        <w:t>13</w:t>
      </w:r>
      <w:r w:rsidR="00FE5E1A">
        <w:rPr>
          <w:rFonts w:ascii="Times New Roman" w:hAnsi="Times New Roman"/>
        </w:rPr>
        <w:t xml:space="preserve"> организаци</w:t>
      </w:r>
      <w:r w:rsidR="00627BDA">
        <w:rPr>
          <w:rFonts w:ascii="Times New Roman" w:hAnsi="Times New Roman"/>
        </w:rPr>
        <w:t>й</w:t>
      </w:r>
      <w:r w:rsidR="00FE5E1A">
        <w:rPr>
          <w:rFonts w:ascii="Times New Roman" w:hAnsi="Times New Roman"/>
        </w:rPr>
        <w:t>, входящих в состав</w:t>
      </w:r>
      <w:r w:rsidR="00553344">
        <w:rPr>
          <w:rFonts w:ascii="Times New Roman" w:hAnsi="Times New Roman"/>
        </w:rPr>
        <w:t xml:space="preserve"> </w:t>
      </w:r>
      <w:r w:rsidR="00FE5E1A">
        <w:rPr>
          <w:rFonts w:ascii="Times New Roman" w:hAnsi="Times New Roman"/>
        </w:rPr>
        <w:t xml:space="preserve">Ассоциации СРО «ППК» имеют </w:t>
      </w:r>
      <w:r w:rsidR="00FE5E1A" w:rsidRPr="00FE5E1A">
        <w:rPr>
          <w:rFonts w:ascii="Times New Roman" w:hAnsi="Times New Roman"/>
        </w:rPr>
        <w:t>прав</w:t>
      </w:r>
      <w:r w:rsidR="00FE5E1A">
        <w:rPr>
          <w:rFonts w:ascii="Times New Roman" w:hAnsi="Times New Roman"/>
        </w:rPr>
        <w:t>о</w:t>
      </w:r>
      <w:r w:rsidR="00FE5E1A" w:rsidRPr="00FE5E1A">
        <w:rPr>
          <w:rFonts w:ascii="Times New Roman" w:hAnsi="Times New Roman"/>
        </w:rPr>
        <w:t xml:space="preserve"> осуществлять подготовку проектной документации в отношении особо опасных, технически сложных и уникальных объектов капитального строительства (кроме объектов использования атомной энергии)</w:t>
      </w:r>
      <w:r w:rsidR="00FE5E1A">
        <w:rPr>
          <w:rFonts w:ascii="Times New Roman" w:hAnsi="Times New Roman"/>
        </w:rPr>
        <w:t xml:space="preserve">. </w:t>
      </w:r>
      <w:r w:rsidR="0099753B">
        <w:rPr>
          <w:rFonts w:ascii="Times New Roman" w:hAnsi="Times New Roman"/>
        </w:rPr>
        <w:t>В ходе проведения плановых проверок, в отношении указанных выше организаций, применяется риск-ориентиров</w:t>
      </w:r>
      <w:r w:rsidR="00627BDA">
        <w:rPr>
          <w:rFonts w:ascii="Times New Roman" w:hAnsi="Times New Roman"/>
        </w:rPr>
        <w:t>анн</w:t>
      </w:r>
      <w:r w:rsidR="0099753B">
        <w:rPr>
          <w:rFonts w:ascii="Times New Roman" w:hAnsi="Times New Roman"/>
        </w:rPr>
        <w:t xml:space="preserve">ый подход. </w:t>
      </w:r>
      <w:r w:rsidR="0099753B" w:rsidRPr="0099753B">
        <w:rPr>
          <w:rFonts w:ascii="Times New Roman" w:hAnsi="Times New Roman"/>
        </w:rPr>
        <w:t>Контрольный комитет Ассоциации осуществляет контроль с учетом тяжести потенциальных негативных последствий возможного несоблюдения объектом контроля обязательных требований и с учетом оценки вероятности несоблюдения соответствующих обязательных требований объектом контроля</w:t>
      </w:r>
      <w:r w:rsidR="00665AD8">
        <w:rPr>
          <w:rFonts w:ascii="Times New Roman" w:hAnsi="Times New Roman"/>
        </w:rPr>
        <w:t xml:space="preserve">. В итоге </w:t>
      </w:r>
      <w:proofErr w:type="gramStart"/>
      <w:r w:rsidR="00665AD8">
        <w:rPr>
          <w:rFonts w:ascii="Times New Roman" w:hAnsi="Times New Roman"/>
        </w:rPr>
        <w:t>всем организация</w:t>
      </w:r>
      <w:r w:rsidR="00553344">
        <w:rPr>
          <w:rFonts w:ascii="Times New Roman" w:hAnsi="Times New Roman"/>
        </w:rPr>
        <w:t>м</w:t>
      </w:r>
      <w:proofErr w:type="gramEnd"/>
      <w:r w:rsidR="00665AD8">
        <w:rPr>
          <w:rFonts w:ascii="Times New Roman" w:hAnsi="Times New Roman"/>
        </w:rPr>
        <w:t xml:space="preserve"> проверенным с применением риск-ориентировочного подхода присвоен 1 (низкий) уровень риска.</w:t>
      </w:r>
    </w:p>
    <w:p w:rsidR="00903604" w:rsidRDefault="00903604" w:rsidP="00346290">
      <w:pPr>
        <w:ind w:firstLine="709"/>
        <w:jc w:val="both"/>
        <w:rPr>
          <w:rFonts w:ascii="Times New Roman" w:hAnsi="Times New Roman"/>
        </w:rPr>
      </w:pPr>
    </w:p>
    <w:p w:rsidR="00E059BF" w:rsidRDefault="00E059BF" w:rsidP="00E059BF">
      <w:pPr>
        <w:ind w:firstLine="709"/>
        <w:jc w:val="both"/>
        <w:rPr>
          <w:rFonts w:ascii="Times New Roman" w:hAnsi="Times New Roman"/>
        </w:rPr>
      </w:pPr>
      <w:r>
        <w:rPr>
          <w:rFonts w:ascii="Times New Roman" w:hAnsi="Times New Roman"/>
        </w:rPr>
        <w:t xml:space="preserve">На </w:t>
      </w:r>
      <w:r w:rsidR="002A1C76">
        <w:rPr>
          <w:rFonts w:ascii="Times New Roman" w:hAnsi="Times New Roman"/>
        </w:rPr>
        <w:t>01 января 20</w:t>
      </w:r>
      <w:r w:rsidR="00331CB5">
        <w:rPr>
          <w:rFonts w:ascii="Times New Roman" w:hAnsi="Times New Roman"/>
        </w:rPr>
        <w:t>2</w:t>
      </w:r>
      <w:r w:rsidR="0003482F">
        <w:rPr>
          <w:rFonts w:ascii="Times New Roman" w:hAnsi="Times New Roman"/>
        </w:rPr>
        <w:t>4</w:t>
      </w:r>
      <w:r w:rsidR="008B33E0">
        <w:rPr>
          <w:rFonts w:ascii="Times New Roman" w:hAnsi="Times New Roman"/>
        </w:rPr>
        <w:t xml:space="preserve"> </w:t>
      </w:r>
      <w:r>
        <w:rPr>
          <w:rFonts w:ascii="Times New Roman" w:hAnsi="Times New Roman"/>
        </w:rPr>
        <w:t xml:space="preserve">г. </w:t>
      </w:r>
      <w:r w:rsidR="00350139">
        <w:rPr>
          <w:rFonts w:ascii="Times New Roman" w:hAnsi="Times New Roman"/>
        </w:rPr>
        <w:t>88</w:t>
      </w:r>
      <w:r>
        <w:rPr>
          <w:rFonts w:ascii="Times New Roman" w:hAnsi="Times New Roman"/>
        </w:rPr>
        <w:t xml:space="preserve"> организаци</w:t>
      </w:r>
      <w:r w:rsidR="00627BDA">
        <w:rPr>
          <w:rFonts w:ascii="Times New Roman" w:hAnsi="Times New Roman"/>
        </w:rPr>
        <w:t>й</w:t>
      </w:r>
      <w:r>
        <w:rPr>
          <w:rFonts w:ascii="Times New Roman" w:hAnsi="Times New Roman"/>
        </w:rPr>
        <w:t xml:space="preserve"> из 1</w:t>
      </w:r>
      <w:r w:rsidR="00406B7A">
        <w:rPr>
          <w:rFonts w:ascii="Times New Roman" w:hAnsi="Times New Roman"/>
        </w:rPr>
        <w:t>3</w:t>
      </w:r>
      <w:r w:rsidR="00350139">
        <w:rPr>
          <w:rFonts w:ascii="Times New Roman" w:hAnsi="Times New Roman"/>
        </w:rPr>
        <w:t>0</w:t>
      </w:r>
      <w:r>
        <w:rPr>
          <w:rFonts w:ascii="Times New Roman" w:hAnsi="Times New Roman"/>
        </w:rPr>
        <w:t xml:space="preserve"> членов Ассоциации име</w:t>
      </w:r>
      <w:r w:rsidR="003A6232">
        <w:rPr>
          <w:rFonts w:ascii="Times New Roman" w:hAnsi="Times New Roman"/>
        </w:rPr>
        <w:t>ю</w:t>
      </w:r>
      <w:r>
        <w:rPr>
          <w:rFonts w:ascii="Times New Roman" w:hAnsi="Times New Roman"/>
        </w:rPr>
        <w:t xml:space="preserve">т </w:t>
      </w:r>
      <w:r w:rsidRPr="00E059BF">
        <w:rPr>
          <w:rFonts w:ascii="Times New Roman" w:hAnsi="Times New Roman"/>
        </w:rPr>
        <w:t>прав</w:t>
      </w:r>
      <w:r>
        <w:rPr>
          <w:rFonts w:ascii="Times New Roman" w:hAnsi="Times New Roman"/>
        </w:rPr>
        <w:t>о</w:t>
      </w:r>
      <w:r w:rsidRPr="00E059BF">
        <w:rPr>
          <w:rFonts w:ascii="Times New Roman" w:hAnsi="Times New Roman"/>
        </w:rPr>
        <w:t xml:space="preserve"> осуществлять подготовку проектной документации, по договору подряда на подготовку проектной документации, заключаемым с использованием конкурентных способов заключения договоров</w:t>
      </w:r>
      <w:r>
        <w:rPr>
          <w:rFonts w:ascii="Times New Roman" w:hAnsi="Times New Roman"/>
        </w:rPr>
        <w:t xml:space="preserve">. </w:t>
      </w:r>
    </w:p>
    <w:p w:rsidR="00E059BF" w:rsidRDefault="00E059BF" w:rsidP="00E059BF">
      <w:pPr>
        <w:ind w:firstLine="709"/>
        <w:jc w:val="both"/>
        <w:rPr>
          <w:rFonts w:ascii="Times New Roman" w:hAnsi="Times New Roman"/>
        </w:rPr>
      </w:pPr>
    </w:p>
    <w:p w:rsidR="00304002" w:rsidRDefault="00304002" w:rsidP="00304002">
      <w:pPr>
        <w:ind w:firstLine="709"/>
        <w:jc w:val="both"/>
        <w:rPr>
          <w:rFonts w:ascii="Times New Roman" w:hAnsi="Times New Roman"/>
        </w:rPr>
      </w:pPr>
      <w:r w:rsidRPr="00107594">
        <w:rPr>
          <w:rFonts w:ascii="Times New Roman" w:hAnsi="Times New Roman"/>
        </w:rPr>
        <w:lastRenderedPageBreak/>
        <w:t xml:space="preserve">Большая часть компаний, входящих в состав </w:t>
      </w:r>
      <w:r>
        <w:rPr>
          <w:rFonts w:ascii="Times New Roman" w:hAnsi="Times New Roman"/>
        </w:rPr>
        <w:t>Ассоциации</w:t>
      </w:r>
      <w:r w:rsidRPr="00107594">
        <w:rPr>
          <w:rFonts w:ascii="Times New Roman" w:hAnsi="Times New Roman"/>
        </w:rPr>
        <w:t xml:space="preserve">, специализируется на совокупности различных направлений проектной деятельности. </w:t>
      </w:r>
    </w:p>
    <w:p w:rsidR="00F6011A" w:rsidRDefault="00F6011A" w:rsidP="00304002">
      <w:pPr>
        <w:ind w:firstLine="709"/>
        <w:jc w:val="both"/>
        <w:rPr>
          <w:rFonts w:ascii="Times New Roman" w:hAnsi="Times New Roman"/>
        </w:rPr>
      </w:pPr>
    </w:p>
    <w:p w:rsidR="00F6011A" w:rsidRDefault="00F6011A" w:rsidP="00304002">
      <w:pPr>
        <w:ind w:firstLine="709"/>
        <w:jc w:val="both"/>
        <w:rPr>
          <w:rFonts w:ascii="Times New Roman" w:hAnsi="Times New Roman"/>
        </w:rPr>
      </w:pPr>
    </w:p>
    <w:p w:rsidR="00DE31CA" w:rsidRDefault="00304002" w:rsidP="00304002">
      <w:pPr>
        <w:ind w:firstLine="709"/>
        <w:jc w:val="center"/>
        <w:rPr>
          <w:rFonts w:ascii="Times New Roman" w:hAnsi="Times New Roman"/>
          <w:b/>
        </w:rPr>
      </w:pPr>
      <w:r w:rsidRPr="00304002">
        <w:rPr>
          <w:rFonts w:ascii="Times New Roman" w:hAnsi="Times New Roman"/>
          <w:b/>
        </w:rPr>
        <w:t>Анализ представленных сведений о фактическом совокупном размере обязательств по договорам подряда на подготовку проектной документации, заключенным с использованием конкурентных способов заключения договоров в течение 20</w:t>
      </w:r>
      <w:r w:rsidR="00D43377">
        <w:rPr>
          <w:rFonts w:ascii="Times New Roman" w:hAnsi="Times New Roman"/>
          <w:b/>
        </w:rPr>
        <w:t>2</w:t>
      </w:r>
      <w:r w:rsidR="00567B38">
        <w:rPr>
          <w:rFonts w:ascii="Times New Roman" w:hAnsi="Times New Roman"/>
          <w:b/>
        </w:rPr>
        <w:t>4</w:t>
      </w:r>
      <w:r w:rsidRPr="00304002">
        <w:rPr>
          <w:rFonts w:ascii="Times New Roman" w:hAnsi="Times New Roman"/>
          <w:b/>
        </w:rPr>
        <w:t xml:space="preserve"> г</w:t>
      </w:r>
      <w:r>
        <w:rPr>
          <w:rFonts w:ascii="Times New Roman" w:hAnsi="Times New Roman"/>
          <w:b/>
        </w:rPr>
        <w:t>.</w:t>
      </w:r>
    </w:p>
    <w:p w:rsidR="00304002" w:rsidRDefault="00304002" w:rsidP="00304002">
      <w:pPr>
        <w:ind w:firstLine="709"/>
        <w:jc w:val="center"/>
        <w:rPr>
          <w:rFonts w:ascii="Times New Roman" w:hAnsi="Times New Roman"/>
          <w:b/>
        </w:rPr>
      </w:pPr>
    </w:p>
    <w:p w:rsidR="00304002" w:rsidRDefault="00304002" w:rsidP="00304002">
      <w:pPr>
        <w:ind w:firstLine="709"/>
        <w:jc w:val="both"/>
        <w:rPr>
          <w:rFonts w:ascii="Times New Roman" w:hAnsi="Times New Roman"/>
        </w:rPr>
      </w:pPr>
      <w:r>
        <w:rPr>
          <w:rFonts w:ascii="Times New Roman" w:hAnsi="Times New Roman"/>
        </w:rPr>
        <w:t xml:space="preserve">Данный анализ проведен по информации, представленной членами Ассоциации СРО «ППК» в соответствии с </w:t>
      </w:r>
      <w:r w:rsidRPr="00304002">
        <w:rPr>
          <w:rFonts w:ascii="Times New Roman" w:hAnsi="Times New Roman"/>
        </w:rPr>
        <w:t>Приказ</w:t>
      </w:r>
      <w:r>
        <w:rPr>
          <w:rFonts w:ascii="Times New Roman" w:hAnsi="Times New Roman"/>
        </w:rPr>
        <w:t>ом</w:t>
      </w:r>
      <w:r w:rsidR="00110B6C">
        <w:rPr>
          <w:rFonts w:ascii="Times New Roman" w:hAnsi="Times New Roman"/>
        </w:rPr>
        <w:t xml:space="preserve"> Минстроя России от 10.04.2017 №</w:t>
      </w:r>
      <w:r w:rsidRPr="00304002">
        <w:rPr>
          <w:rFonts w:ascii="Times New Roman" w:hAnsi="Times New Roman"/>
        </w:rPr>
        <w:t xml:space="preserve"> 700/</w:t>
      </w:r>
      <w:proofErr w:type="spellStart"/>
      <w:r w:rsidRPr="00304002">
        <w:rPr>
          <w:rFonts w:ascii="Times New Roman" w:hAnsi="Times New Roman"/>
        </w:rPr>
        <w:t>пр</w:t>
      </w:r>
      <w:proofErr w:type="spellEnd"/>
      <w:r w:rsidRPr="00304002">
        <w:rPr>
          <w:rFonts w:ascii="Times New Roman" w:hAnsi="Times New Roman"/>
        </w:rPr>
        <w:t xml:space="preserve">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hAnsi="Times New Roman"/>
        </w:rPr>
        <w:t>.</w:t>
      </w:r>
    </w:p>
    <w:p w:rsidR="00304002" w:rsidRDefault="00304002" w:rsidP="00304002">
      <w:pPr>
        <w:ind w:firstLine="709"/>
        <w:jc w:val="both"/>
        <w:rPr>
          <w:rFonts w:ascii="Times New Roman" w:hAnsi="Times New Roman"/>
        </w:rPr>
      </w:pPr>
    </w:p>
    <w:p w:rsidR="00304002" w:rsidRDefault="00FF3EB9" w:rsidP="00304002">
      <w:pPr>
        <w:autoSpaceDE w:val="0"/>
        <w:autoSpaceDN w:val="0"/>
        <w:ind w:firstLine="709"/>
        <w:jc w:val="both"/>
        <w:rPr>
          <w:rFonts w:ascii="Times New Roman" w:eastAsia="Times New Roman" w:hAnsi="Times New Roman"/>
          <w:lang w:eastAsia="ru-RU"/>
        </w:rPr>
      </w:pPr>
      <w:r>
        <w:rPr>
          <w:rFonts w:ascii="Times New Roman" w:eastAsia="Times New Roman" w:hAnsi="Times New Roman"/>
          <w:lang w:eastAsia="ru-RU"/>
        </w:rPr>
        <w:t xml:space="preserve">Представленные данные всех членов, имеющих </w:t>
      </w:r>
      <w:r w:rsidRPr="00FF3EB9">
        <w:rPr>
          <w:rFonts w:ascii="Times New Roman" w:eastAsia="Times New Roman" w:hAnsi="Times New Roman"/>
          <w:lang w:eastAsia="ru-RU"/>
        </w:rPr>
        <w:t xml:space="preserve">право осуществлять подготовку проектной документации, по договору подряда на подготовку проектной документации, заключаемым с использованием конкурентных способов заключения договоров </w:t>
      </w:r>
      <w:r>
        <w:rPr>
          <w:rFonts w:ascii="Times New Roman" w:eastAsia="Times New Roman" w:hAnsi="Times New Roman"/>
          <w:lang w:eastAsia="ru-RU"/>
        </w:rPr>
        <w:t>отображены в Таблице 2 и на диаграмме.</w:t>
      </w:r>
    </w:p>
    <w:p w:rsidR="008B67B4" w:rsidRDefault="008B67B4" w:rsidP="00304002">
      <w:pPr>
        <w:autoSpaceDE w:val="0"/>
        <w:autoSpaceDN w:val="0"/>
        <w:ind w:firstLine="709"/>
        <w:jc w:val="both"/>
        <w:rPr>
          <w:rFonts w:ascii="Times New Roman" w:eastAsia="Times New Roman" w:hAnsi="Times New Roman"/>
          <w:lang w:eastAsia="ru-RU"/>
        </w:rPr>
      </w:pPr>
    </w:p>
    <w:tbl>
      <w:tblPr>
        <w:tblStyle w:val="aa"/>
        <w:tblW w:w="9345" w:type="dxa"/>
        <w:tblLook w:val="04A0" w:firstRow="1" w:lastRow="0" w:firstColumn="1" w:lastColumn="0" w:noHBand="0" w:noVBand="1"/>
      </w:tblPr>
      <w:tblGrid>
        <w:gridCol w:w="3237"/>
        <w:gridCol w:w="2059"/>
        <w:gridCol w:w="2059"/>
        <w:gridCol w:w="1990"/>
      </w:tblGrid>
      <w:tr w:rsidR="005260A2" w:rsidTr="005260A2">
        <w:trPr>
          <w:trHeight w:val="1368"/>
        </w:trPr>
        <w:tc>
          <w:tcPr>
            <w:tcW w:w="3237" w:type="dxa"/>
          </w:tcPr>
          <w:p w:rsidR="005260A2" w:rsidRPr="00FF3EB9" w:rsidRDefault="005260A2" w:rsidP="005260A2">
            <w:pPr>
              <w:autoSpaceDE w:val="0"/>
              <w:autoSpaceDN w:val="0"/>
              <w:jc w:val="center"/>
              <w:rPr>
                <w:rFonts w:ascii="Times New Roman" w:eastAsia="Times New Roman" w:hAnsi="Times New Roman"/>
                <w:b/>
                <w:lang w:eastAsia="ru-RU"/>
              </w:rPr>
            </w:pPr>
            <w:r w:rsidRPr="00FF3EB9">
              <w:rPr>
                <w:rFonts w:ascii="Times New Roman" w:eastAsia="Times New Roman" w:hAnsi="Times New Roman"/>
                <w:b/>
                <w:lang w:eastAsia="ru-RU"/>
              </w:rPr>
              <w:t>Сведения</w:t>
            </w:r>
          </w:p>
        </w:tc>
        <w:tc>
          <w:tcPr>
            <w:tcW w:w="2059" w:type="dxa"/>
          </w:tcPr>
          <w:p w:rsidR="005260A2" w:rsidRPr="00110B6C" w:rsidRDefault="005260A2" w:rsidP="005260A2">
            <w:pPr>
              <w:autoSpaceDE w:val="0"/>
              <w:autoSpaceDN w:val="0"/>
              <w:rPr>
                <w:rFonts w:ascii="Times New Roman" w:eastAsia="Times New Roman" w:hAnsi="Times New Roman"/>
                <w:b/>
                <w:lang w:eastAsia="ru-RU"/>
              </w:rPr>
            </w:pPr>
            <w:r w:rsidRPr="00D43377">
              <w:rPr>
                <w:rFonts w:ascii="Times New Roman" w:eastAsia="Times New Roman" w:hAnsi="Times New Roman"/>
                <w:b/>
                <w:lang w:eastAsia="ru-RU"/>
              </w:rPr>
              <w:t xml:space="preserve"> </w:t>
            </w:r>
            <w:r w:rsidRPr="00110B6C">
              <w:rPr>
                <w:rFonts w:ascii="Times New Roman" w:eastAsia="Times New Roman" w:hAnsi="Times New Roman"/>
                <w:b/>
                <w:lang w:eastAsia="ru-RU"/>
              </w:rPr>
              <w:t>Общее значение (тыс. руб.)</w:t>
            </w:r>
          </w:p>
          <w:p w:rsidR="005260A2" w:rsidRPr="00FF3EB9" w:rsidRDefault="005260A2" w:rsidP="005260A2">
            <w:pPr>
              <w:autoSpaceDE w:val="0"/>
              <w:autoSpaceDN w:val="0"/>
              <w:rPr>
                <w:rFonts w:ascii="Times New Roman" w:eastAsia="Times New Roman" w:hAnsi="Times New Roman"/>
                <w:b/>
                <w:lang w:eastAsia="ru-RU"/>
              </w:rPr>
            </w:pPr>
            <w:r w:rsidRPr="00110B6C">
              <w:rPr>
                <w:rFonts w:ascii="Times New Roman" w:eastAsia="Times New Roman" w:hAnsi="Times New Roman"/>
                <w:b/>
                <w:lang w:eastAsia="ru-RU"/>
              </w:rPr>
              <w:t>по данным за 202</w:t>
            </w:r>
            <w:r>
              <w:rPr>
                <w:rFonts w:ascii="Times New Roman" w:eastAsia="Times New Roman" w:hAnsi="Times New Roman"/>
                <w:b/>
                <w:lang w:eastAsia="ru-RU"/>
              </w:rPr>
              <w:t>2</w:t>
            </w:r>
            <w:r w:rsidRPr="00110B6C">
              <w:rPr>
                <w:rFonts w:ascii="Times New Roman" w:eastAsia="Times New Roman" w:hAnsi="Times New Roman"/>
                <w:b/>
                <w:lang w:eastAsia="ru-RU"/>
              </w:rPr>
              <w:t xml:space="preserve">г.  </w:t>
            </w:r>
          </w:p>
        </w:tc>
        <w:tc>
          <w:tcPr>
            <w:tcW w:w="2059" w:type="dxa"/>
          </w:tcPr>
          <w:p w:rsidR="005260A2" w:rsidRPr="00110B6C" w:rsidRDefault="005260A2" w:rsidP="005260A2">
            <w:pPr>
              <w:autoSpaceDE w:val="0"/>
              <w:autoSpaceDN w:val="0"/>
              <w:rPr>
                <w:rFonts w:ascii="Times New Roman" w:eastAsia="Times New Roman" w:hAnsi="Times New Roman"/>
                <w:b/>
                <w:lang w:eastAsia="ru-RU"/>
              </w:rPr>
            </w:pPr>
            <w:r w:rsidRPr="00110B6C">
              <w:rPr>
                <w:rFonts w:ascii="Times New Roman" w:eastAsia="Times New Roman" w:hAnsi="Times New Roman"/>
                <w:b/>
                <w:lang w:eastAsia="ru-RU"/>
              </w:rPr>
              <w:t>Общее значение (тыс. руб.)</w:t>
            </w:r>
          </w:p>
          <w:p w:rsidR="005260A2" w:rsidRPr="00FF3EB9" w:rsidRDefault="005260A2" w:rsidP="005260A2">
            <w:pPr>
              <w:autoSpaceDE w:val="0"/>
              <w:autoSpaceDN w:val="0"/>
              <w:rPr>
                <w:rFonts w:ascii="Times New Roman" w:eastAsia="Times New Roman" w:hAnsi="Times New Roman"/>
                <w:b/>
                <w:lang w:eastAsia="ru-RU"/>
              </w:rPr>
            </w:pPr>
            <w:r>
              <w:rPr>
                <w:rFonts w:ascii="Times New Roman" w:eastAsia="Times New Roman" w:hAnsi="Times New Roman"/>
                <w:b/>
                <w:lang w:eastAsia="ru-RU"/>
              </w:rPr>
              <w:t>по данным за 2023</w:t>
            </w:r>
            <w:r w:rsidRPr="00110B6C">
              <w:rPr>
                <w:rFonts w:ascii="Times New Roman" w:eastAsia="Times New Roman" w:hAnsi="Times New Roman"/>
                <w:b/>
                <w:lang w:eastAsia="ru-RU"/>
              </w:rPr>
              <w:t xml:space="preserve">г.  </w:t>
            </w:r>
          </w:p>
        </w:tc>
        <w:tc>
          <w:tcPr>
            <w:tcW w:w="1990" w:type="dxa"/>
          </w:tcPr>
          <w:p w:rsidR="005260A2" w:rsidRPr="00110B6C" w:rsidRDefault="005260A2" w:rsidP="005260A2">
            <w:pPr>
              <w:autoSpaceDE w:val="0"/>
              <w:autoSpaceDN w:val="0"/>
              <w:rPr>
                <w:rFonts w:ascii="Times New Roman" w:eastAsia="Times New Roman" w:hAnsi="Times New Roman"/>
                <w:b/>
                <w:lang w:eastAsia="ru-RU"/>
              </w:rPr>
            </w:pPr>
            <w:r w:rsidRPr="00110B6C">
              <w:rPr>
                <w:rFonts w:ascii="Times New Roman" w:eastAsia="Times New Roman" w:hAnsi="Times New Roman"/>
                <w:b/>
                <w:lang w:eastAsia="ru-RU"/>
              </w:rPr>
              <w:t>Общее значение (тыс. руб.)</w:t>
            </w:r>
          </w:p>
          <w:p w:rsidR="005260A2" w:rsidRPr="00FF3EB9" w:rsidRDefault="005260A2" w:rsidP="005260A2">
            <w:pPr>
              <w:autoSpaceDE w:val="0"/>
              <w:autoSpaceDN w:val="0"/>
              <w:rPr>
                <w:rFonts w:ascii="Times New Roman" w:eastAsia="Times New Roman" w:hAnsi="Times New Roman"/>
                <w:b/>
                <w:lang w:eastAsia="ru-RU"/>
              </w:rPr>
            </w:pPr>
            <w:r>
              <w:rPr>
                <w:rFonts w:ascii="Times New Roman" w:eastAsia="Times New Roman" w:hAnsi="Times New Roman"/>
                <w:b/>
                <w:lang w:eastAsia="ru-RU"/>
              </w:rPr>
              <w:t>по данным за 202</w:t>
            </w:r>
            <w:r>
              <w:rPr>
                <w:rFonts w:ascii="Times New Roman" w:eastAsia="Times New Roman" w:hAnsi="Times New Roman"/>
                <w:b/>
                <w:lang w:eastAsia="ru-RU"/>
              </w:rPr>
              <w:t>4</w:t>
            </w:r>
            <w:r w:rsidRPr="00110B6C">
              <w:rPr>
                <w:rFonts w:ascii="Times New Roman" w:eastAsia="Times New Roman" w:hAnsi="Times New Roman"/>
                <w:b/>
                <w:lang w:eastAsia="ru-RU"/>
              </w:rPr>
              <w:t xml:space="preserve">г.  </w:t>
            </w:r>
          </w:p>
        </w:tc>
      </w:tr>
      <w:tr w:rsidR="005260A2" w:rsidTr="005260A2">
        <w:trPr>
          <w:trHeight w:val="571"/>
        </w:trPr>
        <w:tc>
          <w:tcPr>
            <w:tcW w:w="3237" w:type="dxa"/>
          </w:tcPr>
          <w:p w:rsidR="005260A2" w:rsidRDefault="005260A2" w:rsidP="005260A2">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 xml:space="preserve">Сведения о фактическом совокупном размере обязательств по договорам по состоянию на </w:t>
            </w:r>
            <w:r w:rsidRPr="00C1113B">
              <w:rPr>
                <w:rFonts w:ascii="Times New Roman" w:eastAsia="Times New Roman" w:hAnsi="Times New Roman"/>
                <w:lang w:eastAsia="ru-RU"/>
              </w:rPr>
              <w:t>1 января отчетного года</w:t>
            </w:r>
          </w:p>
        </w:tc>
        <w:tc>
          <w:tcPr>
            <w:tcW w:w="2059" w:type="dxa"/>
          </w:tcPr>
          <w:p w:rsidR="005260A2" w:rsidRPr="00142D11" w:rsidRDefault="005260A2" w:rsidP="005260A2">
            <w:pPr>
              <w:rPr>
                <w:rFonts w:ascii="Times New Roman" w:hAnsi="Times New Roman"/>
                <w:color w:val="000000"/>
                <w:sz w:val="22"/>
                <w:szCs w:val="22"/>
              </w:rPr>
            </w:pPr>
            <w:r>
              <w:rPr>
                <w:rFonts w:ascii="Times New Roman" w:hAnsi="Times New Roman"/>
                <w:color w:val="000000"/>
                <w:sz w:val="22"/>
                <w:szCs w:val="22"/>
              </w:rPr>
              <w:t>85117</w:t>
            </w:r>
          </w:p>
        </w:tc>
        <w:tc>
          <w:tcPr>
            <w:tcW w:w="2059" w:type="dxa"/>
          </w:tcPr>
          <w:p w:rsidR="005260A2" w:rsidRPr="00720175" w:rsidRDefault="005260A2" w:rsidP="005260A2">
            <w:pPr>
              <w:rPr>
                <w:rFonts w:ascii="Times New Roman" w:eastAsia="Times New Roman" w:hAnsi="Times New Roman"/>
                <w:color w:val="000000"/>
                <w:sz w:val="22"/>
                <w:szCs w:val="22"/>
              </w:rPr>
            </w:pPr>
            <w:r w:rsidRPr="00720175">
              <w:rPr>
                <w:rFonts w:ascii="Times New Roman" w:hAnsi="Times New Roman"/>
                <w:color w:val="000000"/>
                <w:sz w:val="22"/>
                <w:szCs w:val="22"/>
              </w:rPr>
              <w:t>79816</w:t>
            </w:r>
            <w:r>
              <w:rPr>
                <w:rFonts w:ascii="Times New Roman" w:hAnsi="Times New Roman"/>
                <w:color w:val="000000"/>
                <w:sz w:val="22"/>
                <w:szCs w:val="22"/>
              </w:rPr>
              <w:t>,53</w:t>
            </w:r>
          </w:p>
          <w:p w:rsidR="005260A2" w:rsidRPr="00720175" w:rsidRDefault="005260A2" w:rsidP="005260A2">
            <w:pPr>
              <w:rPr>
                <w:rFonts w:ascii="Times New Roman" w:hAnsi="Times New Roman"/>
                <w:color w:val="000000"/>
                <w:sz w:val="22"/>
                <w:szCs w:val="22"/>
              </w:rPr>
            </w:pPr>
          </w:p>
        </w:tc>
        <w:tc>
          <w:tcPr>
            <w:tcW w:w="1990" w:type="dxa"/>
          </w:tcPr>
          <w:p w:rsidR="005260A2" w:rsidRPr="00720175" w:rsidRDefault="009D55E2" w:rsidP="005260A2">
            <w:pPr>
              <w:rPr>
                <w:rFonts w:ascii="Times New Roman" w:hAnsi="Times New Roman"/>
                <w:color w:val="000000"/>
                <w:sz w:val="22"/>
                <w:szCs w:val="22"/>
              </w:rPr>
            </w:pPr>
            <w:r>
              <w:rPr>
                <w:rFonts w:ascii="Times New Roman" w:hAnsi="Times New Roman"/>
                <w:color w:val="000000"/>
                <w:sz w:val="22"/>
                <w:szCs w:val="22"/>
              </w:rPr>
              <w:t>39455</w:t>
            </w:r>
          </w:p>
        </w:tc>
      </w:tr>
      <w:tr w:rsidR="005260A2" w:rsidTr="005260A2">
        <w:trPr>
          <w:trHeight w:val="144"/>
        </w:trPr>
        <w:tc>
          <w:tcPr>
            <w:tcW w:w="3237" w:type="dxa"/>
          </w:tcPr>
          <w:p w:rsidR="005260A2" w:rsidRDefault="005260A2" w:rsidP="005260A2">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Сведения о фактическом совокупном размере обязательств по договорам, которые были заключены в течение отчетного периода</w:t>
            </w:r>
          </w:p>
        </w:tc>
        <w:tc>
          <w:tcPr>
            <w:tcW w:w="2059" w:type="dxa"/>
          </w:tcPr>
          <w:p w:rsidR="005260A2" w:rsidRPr="00142D11" w:rsidRDefault="005260A2" w:rsidP="005260A2">
            <w:pPr>
              <w:rPr>
                <w:rFonts w:ascii="Times New Roman" w:hAnsi="Times New Roman"/>
                <w:color w:val="000000"/>
                <w:sz w:val="22"/>
                <w:szCs w:val="22"/>
              </w:rPr>
            </w:pPr>
            <w:r>
              <w:rPr>
                <w:rFonts w:ascii="Times New Roman" w:hAnsi="Times New Roman"/>
                <w:color w:val="000000"/>
                <w:sz w:val="22"/>
                <w:szCs w:val="22"/>
              </w:rPr>
              <w:t>237233,1</w:t>
            </w:r>
          </w:p>
        </w:tc>
        <w:tc>
          <w:tcPr>
            <w:tcW w:w="2059" w:type="dxa"/>
          </w:tcPr>
          <w:p w:rsidR="005260A2" w:rsidRPr="00720175" w:rsidRDefault="005260A2" w:rsidP="005260A2">
            <w:pPr>
              <w:rPr>
                <w:rFonts w:ascii="Times New Roman" w:eastAsia="Times New Roman" w:hAnsi="Times New Roman"/>
                <w:color w:val="000000"/>
                <w:sz w:val="22"/>
                <w:szCs w:val="22"/>
              </w:rPr>
            </w:pPr>
            <w:r w:rsidRPr="00720175">
              <w:rPr>
                <w:rFonts w:ascii="Times New Roman" w:hAnsi="Times New Roman"/>
                <w:color w:val="000000"/>
                <w:sz w:val="22"/>
                <w:szCs w:val="22"/>
              </w:rPr>
              <w:t>105145</w:t>
            </w:r>
            <w:r>
              <w:rPr>
                <w:rFonts w:ascii="Times New Roman" w:hAnsi="Times New Roman"/>
                <w:color w:val="000000"/>
                <w:sz w:val="22"/>
                <w:szCs w:val="22"/>
              </w:rPr>
              <w:t>,90</w:t>
            </w:r>
          </w:p>
          <w:p w:rsidR="005260A2" w:rsidRPr="00720175" w:rsidRDefault="005260A2" w:rsidP="005260A2">
            <w:pPr>
              <w:rPr>
                <w:rFonts w:ascii="Times New Roman" w:hAnsi="Times New Roman"/>
                <w:color w:val="000000"/>
                <w:sz w:val="22"/>
                <w:szCs w:val="22"/>
              </w:rPr>
            </w:pPr>
          </w:p>
        </w:tc>
        <w:tc>
          <w:tcPr>
            <w:tcW w:w="1990" w:type="dxa"/>
          </w:tcPr>
          <w:p w:rsidR="005260A2" w:rsidRPr="00720175" w:rsidRDefault="009D55E2" w:rsidP="005260A2">
            <w:pPr>
              <w:rPr>
                <w:rFonts w:ascii="Times New Roman" w:hAnsi="Times New Roman"/>
                <w:color w:val="000000"/>
                <w:sz w:val="22"/>
                <w:szCs w:val="22"/>
              </w:rPr>
            </w:pPr>
            <w:r>
              <w:rPr>
                <w:rFonts w:ascii="Times New Roman" w:hAnsi="Times New Roman"/>
                <w:color w:val="000000"/>
                <w:sz w:val="22"/>
                <w:szCs w:val="22"/>
              </w:rPr>
              <w:t>282712</w:t>
            </w:r>
          </w:p>
        </w:tc>
      </w:tr>
      <w:tr w:rsidR="005260A2" w:rsidTr="005260A2">
        <w:trPr>
          <w:trHeight w:val="144"/>
        </w:trPr>
        <w:tc>
          <w:tcPr>
            <w:tcW w:w="3237" w:type="dxa"/>
          </w:tcPr>
          <w:p w:rsidR="005260A2" w:rsidRDefault="005260A2" w:rsidP="005260A2">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 xml:space="preserve">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и(или) исполнение по которым сторонами прекращено по основаниям, предусмотренным законом или договором, до приемки </w:t>
            </w:r>
            <w:r w:rsidRPr="00304002">
              <w:rPr>
                <w:rFonts w:ascii="Times New Roman" w:eastAsia="Times New Roman" w:hAnsi="Times New Roman"/>
                <w:lang w:eastAsia="ru-RU"/>
              </w:rPr>
              <w:lastRenderedPageBreak/>
              <w:t>заказчиком результата работы в течение отчетного периода</w:t>
            </w:r>
          </w:p>
        </w:tc>
        <w:tc>
          <w:tcPr>
            <w:tcW w:w="2059" w:type="dxa"/>
          </w:tcPr>
          <w:p w:rsidR="005260A2" w:rsidRPr="00142D11" w:rsidRDefault="005260A2" w:rsidP="005260A2">
            <w:pPr>
              <w:rPr>
                <w:rFonts w:ascii="Times New Roman" w:hAnsi="Times New Roman"/>
                <w:color w:val="000000"/>
                <w:sz w:val="22"/>
                <w:szCs w:val="22"/>
              </w:rPr>
            </w:pPr>
            <w:r>
              <w:rPr>
                <w:rFonts w:ascii="Times New Roman" w:hAnsi="Times New Roman"/>
                <w:color w:val="000000"/>
                <w:sz w:val="22"/>
                <w:szCs w:val="22"/>
              </w:rPr>
              <w:lastRenderedPageBreak/>
              <w:t>179574,6</w:t>
            </w:r>
          </w:p>
        </w:tc>
        <w:tc>
          <w:tcPr>
            <w:tcW w:w="2059" w:type="dxa"/>
          </w:tcPr>
          <w:p w:rsidR="005260A2" w:rsidRPr="00720175" w:rsidRDefault="005260A2" w:rsidP="005260A2">
            <w:pPr>
              <w:rPr>
                <w:rFonts w:ascii="Times New Roman" w:eastAsia="Times New Roman" w:hAnsi="Times New Roman"/>
                <w:color w:val="000000"/>
                <w:sz w:val="22"/>
                <w:szCs w:val="22"/>
              </w:rPr>
            </w:pPr>
            <w:r w:rsidRPr="00720175">
              <w:rPr>
                <w:rFonts w:ascii="Times New Roman" w:hAnsi="Times New Roman"/>
                <w:color w:val="000000"/>
                <w:sz w:val="22"/>
                <w:szCs w:val="22"/>
              </w:rPr>
              <w:t>105113</w:t>
            </w:r>
            <w:r>
              <w:rPr>
                <w:rFonts w:ascii="Times New Roman" w:hAnsi="Times New Roman"/>
                <w:color w:val="000000"/>
                <w:sz w:val="22"/>
                <w:szCs w:val="22"/>
              </w:rPr>
              <w:t>,48</w:t>
            </w:r>
          </w:p>
          <w:p w:rsidR="005260A2" w:rsidRPr="00720175" w:rsidRDefault="005260A2" w:rsidP="005260A2">
            <w:pPr>
              <w:rPr>
                <w:rFonts w:ascii="Times New Roman" w:hAnsi="Times New Roman"/>
                <w:color w:val="000000"/>
                <w:sz w:val="22"/>
                <w:szCs w:val="22"/>
              </w:rPr>
            </w:pPr>
          </w:p>
        </w:tc>
        <w:tc>
          <w:tcPr>
            <w:tcW w:w="1990" w:type="dxa"/>
          </w:tcPr>
          <w:p w:rsidR="005260A2" w:rsidRPr="00720175" w:rsidRDefault="009D55E2" w:rsidP="005260A2">
            <w:pPr>
              <w:rPr>
                <w:rFonts w:ascii="Times New Roman" w:hAnsi="Times New Roman"/>
                <w:color w:val="000000"/>
                <w:sz w:val="22"/>
                <w:szCs w:val="22"/>
              </w:rPr>
            </w:pPr>
            <w:r>
              <w:rPr>
                <w:rFonts w:ascii="Times New Roman" w:hAnsi="Times New Roman"/>
                <w:color w:val="000000"/>
                <w:sz w:val="22"/>
                <w:szCs w:val="22"/>
              </w:rPr>
              <w:t>108810</w:t>
            </w:r>
          </w:p>
        </w:tc>
      </w:tr>
      <w:tr w:rsidR="005260A2" w:rsidTr="005260A2">
        <w:trPr>
          <w:trHeight w:val="144"/>
        </w:trPr>
        <w:tc>
          <w:tcPr>
            <w:tcW w:w="3237" w:type="dxa"/>
          </w:tcPr>
          <w:p w:rsidR="005260A2" w:rsidRDefault="005260A2" w:rsidP="005260A2">
            <w:pPr>
              <w:autoSpaceDE w:val="0"/>
              <w:autoSpaceDN w:val="0"/>
              <w:rPr>
                <w:rFonts w:ascii="Times New Roman" w:eastAsia="Times New Roman" w:hAnsi="Times New Roman"/>
                <w:lang w:eastAsia="ru-RU"/>
              </w:rPr>
            </w:pPr>
            <w:r w:rsidRPr="00304002">
              <w:rPr>
                <w:rFonts w:ascii="Times New Roman" w:eastAsia="Times New Roman" w:hAnsi="Times New Roman"/>
                <w:lang w:eastAsia="ru-RU"/>
              </w:rPr>
              <w:t>Сведения о фактическом совокупном размере обязательств по всем договорам, которые заключены и исполнение которых на 31 декабря отчетного периода не завершено</w:t>
            </w:r>
          </w:p>
        </w:tc>
        <w:tc>
          <w:tcPr>
            <w:tcW w:w="2059" w:type="dxa"/>
          </w:tcPr>
          <w:p w:rsidR="005260A2" w:rsidRPr="00142D11" w:rsidRDefault="005260A2" w:rsidP="005260A2">
            <w:pPr>
              <w:rPr>
                <w:rFonts w:ascii="Times New Roman" w:hAnsi="Times New Roman"/>
                <w:color w:val="000000"/>
                <w:sz w:val="22"/>
                <w:szCs w:val="22"/>
              </w:rPr>
            </w:pPr>
            <w:r w:rsidRPr="00067284">
              <w:rPr>
                <w:rFonts w:ascii="Times New Roman" w:hAnsi="Times New Roman"/>
                <w:color w:val="000000"/>
                <w:sz w:val="22"/>
                <w:szCs w:val="22"/>
              </w:rPr>
              <w:t>79816,53</w:t>
            </w:r>
          </w:p>
        </w:tc>
        <w:tc>
          <w:tcPr>
            <w:tcW w:w="2059" w:type="dxa"/>
          </w:tcPr>
          <w:p w:rsidR="005260A2" w:rsidRPr="00720175" w:rsidRDefault="005260A2" w:rsidP="005260A2">
            <w:pPr>
              <w:rPr>
                <w:rFonts w:ascii="Times New Roman" w:eastAsia="Times New Roman" w:hAnsi="Times New Roman"/>
                <w:color w:val="000000"/>
                <w:sz w:val="22"/>
                <w:szCs w:val="22"/>
              </w:rPr>
            </w:pPr>
            <w:r>
              <w:rPr>
                <w:rFonts w:ascii="Times New Roman" w:hAnsi="Times New Roman"/>
                <w:color w:val="000000"/>
                <w:sz w:val="22"/>
                <w:szCs w:val="22"/>
              </w:rPr>
              <w:t>79848,95</w:t>
            </w:r>
          </w:p>
          <w:p w:rsidR="005260A2" w:rsidRPr="00720175" w:rsidRDefault="005260A2" w:rsidP="005260A2">
            <w:pPr>
              <w:rPr>
                <w:rFonts w:ascii="Times New Roman" w:hAnsi="Times New Roman"/>
                <w:color w:val="000000"/>
                <w:sz w:val="22"/>
                <w:szCs w:val="22"/>
              </w:rPr>
            </w:pPr>
          </w:p>
        </w:tc>
        <w:tc>
          <w:tcPr>
            <w:tcW w:w="1990" w:type="dxa"/>
          </w:tcPr>
          <w:p w:rsidR="005260A2" w:rsidRDefault="009D55E2" w:rsidP="005260A2">
            <w:pPr>
              <w:rPr>
                <w:rFonts w:ascii="Times New Roman" w:hAnsi="Times New Roman"/>
                <w:color w:val="000000"/>
                <w:sz w:val="22"/>
                <w:szCs w:val="22"/>
              </w:rPr>
            </w:pPr>
            <w:r>
              <w:rPr>
                <w:rFonts w:ascii="Times New Roman" w:hAnsi="Times New Roman"/>
                <w:color w:val="000000"/>
                <w:sz w:val="22"/>
                <w:szCs w:val="22"/>
              </w:rPr>
              <w:t>213856</w:t>
            </w:r>
          </w:p>
        </w:tc>
      </w:tr>
    </w:tbl>
    <w:p w:rsidR="00FF3EB9" w:rsidRPr="00304002" w:rsidRDefault="00FF3EB9" w:rsidP="00304002">
      <w:pPr>
        <w:autoSpaceDE w:val="0"/>
        <w:autoSpaceDN w:val="0"/>
        <w:ind w:firstLine="709"/>
        <w:jc w:val="both"/>
        <w:rPr>
          <w:rFonts w:ascii="Times New Roman" w:eastAsia="Times New Roman" w:hAnsi="Times New Roman"/>
          <w:lang w:eastAsia="ru-RU"/>
        </w:rPr>
      </w:pPr>
    </w:p>
    <w:p w:rsidR="00C1113B" w:rsidRDefault="00762182" w:rsidP="006C7BA0">
      <w:pPr>
        <w:ind w:hanging="142"/>
        <w:jc w:val="both"/>
        <w:rPr>
          <w:rFonts w:ascii="Times New Roman" w:hAnsi="Times New Roman"/>
        </w:rPr>
      </w:pPr>
      <w:bookmarkStart w:id="0" w:name="_GoBack"/>
      <w:r>
        <w:rPr>
          <w:rFonts w:ascii="Times New Roman" w:hAnsi="Times New Roman"/>
          <w:noProof/>
          <w:lang w:eastAsia="ru-RU"/>
        </w:rPr>
        <w:drawing>
          <wp:inline distT="0" distB="0" distL="0" distR="0" wp14:anchorId="531DA2CD" wp14:editId="32FB7EE5">
            <wp:extent cx="5940425" cy="4981575"/>
            <wp:effectExtent l="0" t="0" r="317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rsidR="006C7BA0" w:rsidRDefault="006C7BA0" w:rsidP="00E33DE5">
      <w:pPr>
        <w:jc w:val="both"/>
        <w:rPr>
          <w:rFonts w:ascii="Times New Roman" w:hAnsi="Times New Roman"/>
        </w:rPr>
      </w:pPr>
    </w:p>
    <w:p w:rsidR="00DE31CA" w:rsidRDefault="008B67B4" w:rsidP="00346290">
      <w:pPr>
        <w:ind w:firstLine="709"/>
        <w:jc w:val="both"/>
        <w:rPr>
          <w:rFonts w:ascii="Times New Roman" w:hAnsi="Times New Roman"/>
        </w:rPr>
      </w:pPr>
      <w:r>
        <w:rPr>
          <w:rFonts w:ascii="Times New Roman" w:hAnsi="Times New Roman"/>
        </w:rPr>
        <w:t>При этом ф</w:t>
      </w:r>
      <w:r w:rsidRPr="00291458">
        <w:rPr>
          <w:rFonts w:ascii="Times New Roman" w:hAnsi="Times New Roman"/>
        </w:rPr>
        <w:t xml:space="preserve">актический совокупный размер обязательств по договорам подряда на подготовку проектной документации, заключенным с использованием конкурентных способов заключения договоров, </w:t>
      </w:r>
      <w:r w:rsidRPr="008B67B4">
        <w:rPr>
          <w:rFonts w:ascii="Times New Roman" w:hAnsi="Times New Roman"/>
        </w:rPr>
        <w:t xml:space="preserve">соответствует </w:t>
      </w:r>
      <w:r w:rsidRPr="00291458">
        <w:rPr>
          <w:rFonts w:ascii="Times New Roman" w:hAnsi="Times New Roman"/>
        </w:rPr>
        <w:t xml:space="preserve">предельному размеру обязательств, исходя из которого </w:t>
      </w:r>
      <w:r>
        <w:rPr>
          <w:rFonts w:ascii="Times New Roman" w:hAnsi="Times New Roman"/>
        </w:rPr>
        <w:t xml:space="preserve">каждым </w:t>
      </w:r>
      <w:r w:rsidRPr="00291458">
        <w:rPr>
          <w:rFonts w:ascii="Times New Roman" w:hAnsi="Times New Roman"/>
        </w:rPr>
        <w:t>член</w:t>
      </w:r>
      <w:r>
        <w:rPr>
          <w:rFonts w:ascii="Times New Roman" w:hAnsi="Times New Roman"/>
        </w:rPr>
        <w:t>ом</w:t>
      </w:r>
      <w:r w:rsidRPr="00291458">
        <w:rPr>
          <w:rFonts w:ascii="Times New Roman" w:hAnsi="Times New Roman"/>
        </w:rPr>
        <w:t xml:space="preserve"> Ассоциации СРО «ППК» был внесен взнос в компенсационный фонд обеспечения договорных обязательств</w:t>
      </w:r>
      <w:r>
        <w:rPr>
          <w:rFonts w:ascii="Times New Roman" w:hAnsi="Times New Roman"/>
        </w:rPr>
        <w:t>.</w:t>
      </w:r>
    </w:p>
    <w:p w:rsidR="00627BDA" w:rsidRDefault="00627BDA" w:rsidP="00346290">
      <w:pPr>
        <w:ind w:firstLine="709"/>
        <w:jc w:val="both"/>
        <w:rPr>
          <w:rFonts w:ascii="Times New Roman" w:hAnsi="Times New Roman"/>
        </w:rPr>
      </w:pPr>
    </w:p>
    <w:p w:rsidR="00627BDA" w:rsidRDefault="00627BDA" w:rsidP="00346290">
      <w:pPr>
        <w:ind w:firstLine="709"/>
        <w:jc w:val="both"/>
        <w:rPr>
          <w:rFonts w:ascii="Times New Roman" w:hAnsi="Times New Roman"/>
        </w:rPr>
      </w:pPr>
    </w:p>
    <w:p w:rsidR="00627BDA" w:rsidRDefault="00627BDA" w:rsidP="00346290">
      <w:pPr>
        <w:ind w:firstLine="709"/>
        <w:jc w:val="both"/>
        <w:rPr>
          <w:rFonts w:ascii="Times New Roman" w:hAnsi="Times New Roman"/>
        </w:rPr>
      </w:pPr>
    </w:p>
    <w:p w:rsidR="00627BDA" w:rsidRDefault="00627BDA" w:rsidP="00346290">
      <w:pPr>
        <w:ind w:firstLine="709"/>
        <w:jc w:val="both"/>
        <w:rPr>
          <w:rFonts w:ascii="Times New Roman" w:hAnsi="Times New Roman"/>
        </w:rPr>
      </w:pPr>
    </w:p>
    <w:p w:rsidR="00627BDA" w:rsidRDefault="00627BDA" w:rsidP="00627BDA">
      <w:pPr>
        <w:rPr>
          <w:rFonts w:ascii="Times New Roman" w:hAnsi="Times New Roman"/>
        </w:rPr>
      </w:pPr>
      <w:r>
        <w:rPr>
          <w:rFonts w:ascii="Times New Roman" w:hAnsi="Times New Roman"/>
        </w:rPr>
        <w:t>Исполнительный директор Ассоциации СРО «</w:t>
      </w:r>
      <w:proofErr w:type="gramStart"/>
      <w:r>
        <w:rPr>
          <w:rFonts w:ascii="Times New Roman" w:hAnsi="Times New Roman"/>
        </w:rPr>
        <w:t xml:space="preserve">ППК»   </w:t>
      </w:r>
      <w:proofErr w:type="gramEnd"/>
      <w:r>
        <w:rPr>
          <w:rFonts w:ascii="Times New Roman" w:hAnsi="Times New Roman"/>
        </w:rPr>
        <w:t xml:space="preserve">                                          С.В. Лёгкий</w:t>
      </w:r>
    </w:p>
    <w:sectPr w:rsidR="00627BDA" w:rsidSect="00826A96">
      <w:footerReference w:type="default" r:id="rId12"/>
      <w:pgSz w:w="11906" w:h="16838"/>
      <w:pgMar w:top="81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E2" w:rsidRDefault="001F4EE2" w:rsidP="00826A96">
      <w:r>
        <w:separator/>
      </w:r>
    </w:p>
  </w:endnote>
  <w:endnote w:type="continuationSeparator" w:id="0">
    <w:p w:rsidR="001F4EE2" w:rsidRDefault="001F4EE2" w:rsidP="0082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61234"/>
      <w:docPartObj>
        <w:docPartGallery w:val="Page Numbers (Bottom of Page)"/>
        <w:docPartUnique/>
      </w:docPartObj>
    </w:sdtPr>
    <w:sdtEndPr/>
    <w:sdtContent>
      <w:p w:rsidR="00BF38D0" w:rsidRDefault="00BF38D0">
        <w:pPr>
          <w:pStyle w:val="a8"/>
          <w:jc w:val="right"/>
        </w:pPr>
        <w:r>
          <w:fldChar w:fldCharType="begin"/>
        </w:r>
        <w:r>
          <w:instrText>PAGE   \* MERGEFORMAT</w:instrText>
        </w:r>
        <w:r>
          <w:fldChar w:fldCharType="separate"/>
        </w:r>
        <w:r w:rsidR="00762182">
          <w:rPr>
            <w:noProof/>
          </w:rPr>
          <w:t>4</w:t>
        </w:r>
        <w:r>
          <w:fldChar w:fldCharType="end"/>
        </w:r>
      </w:p>
    </w:sdtContent>
  </w:sdt>
  <w:p w:rsidR="00BF38D0" w:rsidRDefault="00BF38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E2" w:rsidRDefault="001F4EE2" w:rsidP="00826A96">
      <w:r>
        <w:separator/>
      </w:r>
    </w:p>
  </w:footnote>
  <w:footnote w:type="continuationSeparator" w:id="0">
    <w:p w:rsidR="001F4EE2" w:rsidRDefault="001F4EE2" w:rsidP="0082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9E"/>
    <w:rsid w:val="0003482F"/>
    <w:rsid w:val="00045E59"/>
    <w:rsid w:val="00057C9E"/>
    <w:rsid w:val="000609E4"/>
    <w:rsid w:val="00061760"/>
    <w:rsid w:val="00067284"/>
    <w:rsid w:val="00073A22"/>
    <w:rsid w:val="00086F50"/>
    <w:rsid w:val="000A0496"/>
    <w:rsid w:val="000A1A16"/>
    <w:rsid w:val="000E4F72"/>
    <w:rsid w:val="00107594"/>
    <w:rsid w:val="00110B6C"/>
    <w:rsid w:val="0011230D"/>
    <w:rsid w:val="00126C9D"/>
    <w:rsid w:val="00140486"/>
    <w:rsid w:val="00142D11"/>
    <w:rsid w:val="00161DEB"/>
    <w:rsid w:val="00163B5C"/>
    <w:rsid w:val="00185983"/>
    <w:rsid w:val="00195653"/>
    <w:rsid w:val="00196712"/>
    <w:rsid w:val="001C26BB"/>
    <w:rsid w:val="001D2FAC"/>
    <w:rsid w:val="001F4EE2"/>
    <w:rsid w:val="002634B0"/>
    <w:rsid w:val="002759E1"/>
    <w:rsid w:val="00282289"/>
    <w:rsid w:val="002915AB"/>
    <w:rsid w:val="002A1A30"/>
    <w:rsid w:val="002A1C76"/>
    <w:rsid w:val="002A7098"/>
    <w:rsid w:val="002C20C1"/>
    <w:rsid w:val="00304002"/>
    <w:rsid w:val="003126FE"/>
    <w:rsid w:val="00331CB5"/>
    <w:rsid w:val="00346290"/>
    <w:rsid w:val="00350139"/>
    <w:rsid w:val="003A6232"/>
    <w:rsid w:val="003C369F"/>
    <w:rsid w:val="003F4306"/>
    <w:rsid w:val="003F4C6B"/>
    <w:rsid w:val="00406B7A"/>
    <w:rsid w:val="00435FA7"/>
    <w:rsid w:val="00493227"/>
    <w:rsid w:val="004A2561"/>
    <w:rsid w:val="004B711D"/>
    <w:rsid w:val="004C2A63"/>
    <w:rsid w:val="004D07C0"/>
    <w:rsid w:val="004F58D8"/>
    <w:rsid w:val="00523563"/>
    <w:rsid w:val="005260A2"/>
    <w:rsid w:val="00552BAD"/>
    <w:rsid w:val="00553344"/>
    <w:rsid w:val="00555654"/>
    <w:rsid w:val="00563D8D"/>
    <w:rsid w:val="00567B38"/>
    <w:rsid w:val="005A0BCE"/>
    <w:rsid w:val="005F575B"/>
    <w:rsid w:val="00602E58"/>
    <w:rsid w:val="00604A79"/>
    <w:rsid w:val="00605DB0"/>
    <w:rsid w:val="00622E73"/>
    <w:rsid w:val="00623C59"/>
    <w:rsid w:val="00627BDA"/>
    <w:rsid w:val="006607C6"/>
    <w:rsid w:val="00665AD8"/>
    <w:rsid w:val="00665DF5"/>
    <w:rsid w:val="00672A88"/>
    <w:rsid w:val="0067763C"/>
    <w:rsid w:val="00690B03"/>
    <w:rsid w:val="0069291B"/>
    <w:rsid w:val="00692B3C"/>
    <w:rsid w:val="00695E2A"/>
    <w:rsid w:val="006C3EB0"/>
    <w:rsid w:val="006C7BA0"/>
    <w:rsid w:val="006E098B"/>
    <w:rsid w:val="006E3BBF"/>
    <w:rsid w:val="006E4DA9"/>
    <w:rsid w:val="006F5374"/>
    <w:rsid w:val="0070537B"/>
    <w:rsid w:val="00720175"/>
    <w:rsid w:val="0072468D"/>
    <w:rsid w:val="00746AF4"/>
    <w:rsid w:val="00762182"/>
    <w:rsid w:val="00763CF0"/>
    <w:rsid w:val="00770816"/>
    <w:rsid w:val="00780733"/>
    <w:rsid w:val="00790F68"/>
    <w:rsid w:val="007B21D0"/>
    <w:rsid w:val="008122E9"/>
    <w:rsid w:val="008147B7"/>
    <w:rsid w:val="00826A96"/>
    <w:rsid w:val="008B33E0"/>
    <w:rsid w:val="008B4A5D"/>
    <w:rsid w:val="008B67B4"/>
    <w:rsid w:val="008C12FD"/>
    <w:rsid w:val="008C32D7"/>
    <w:rsid w:val="008D6065"/>
    <w:rsid w:val="008F114D"/>
    <w:rsid w:val="00903604"/>
    <w:rsid w:val="009122EA"/>
    <w:rsid w:val="00912842"/>
    <w:rsid w:val="009149D5"/>
    <w:rsid w:val="009215FD"/>
    <w:rsid w:val="00951000"/>
    <w:rsid w:val="0098551C"/>
    <w:rsid w:val="00985F7B"/>
    <w:rsid w:val="0099753B"/>
    <w:rsid w:val="009A0887"/>
    <w:rsid w:val="009B785B"/>
    <w:rsid w:val="009C305A"/>
    <w:rsid w:val="009D55E2"/>
    <w:rsid w:val="009F02E9"/>
    <w:rsid w:val="00A10FCF"/>
    <w:rsid w:val="00A31F68"/>
    <w:rsid w:val="00A50D48"/>
    <w:rsid w:val="00A5146D"/>
    <w:rsid w:val="00A52D03"/>
    <w:rsid w:val="00A5659F"/>
    <w:rsid w:val="00A77DFC"/>
    <w:rsid w:val="00AC3CD4"/>
    <w:rsid w:val="00AD4D62"/>
    <w:rsid w:val="00B0638D"/>
    <w:rsid w:val="00B0641B"/>
    <w:rsid w:val="00B170BD"/>
    <w:rsid w:val="00B347ED"/>
    <w:rsid w:val="00B62210"/>
    <w:rsid w:val="00B84DAB"/>
    <w:rsid w:val="00BC0F40"/>
    <w:rsid w:val="00BD4374"/>
    <w:rsid w:val="00BE302A"/>
    <w:rsid w:val="00BF3639"/>
    <w:rsid w:val="00BF38D0"/>
    <w:rsid w:val="00BF7B7F"/>
    <w:rsid w:val="00C03ED8"/>
    <w:rsid w:val="00C1113B"/>
    <w:rsid w:val="00C244BC"/>
    <w:rsid w:val="00C47B2C"/>
    <w:rsid w:val="00C60A1A"/>
    <w:rsid w:val="00C60C08"/>
    <w:rsid w:val="00C64477"/>
    <w:rsid w:val="00C8055E"/>
    <w:rsid w:val="00CA7B83"/>
    <w:rsid w:val="00CB2B35"/>
    <w:rsid w:val="00CE2C9B"/>
    <w:rsid w:val="00D43377"/>
    <w:rsid w:val="00D44CB8"/>
    <w:rsid w:val="00D75660"/>
    <w:rsid w:val="00DA39EA"/>
    <w:rsid w:val="00DB4865"/>
    <w:rsid w:val="00DD6759"/>
    <w:rsid w:val="00DE011D"/>
    <w:rsid w:val="00DE31CA"/>
    <w:rsid w:val="00DE6AB6"/>
    <w:rsid w:val="00DF3CA3"/>
    <w:rsid w:val="00E059BF"/>
    <w:rsid w:val="00E10453"/>
    <w:rsid w:val="00E13178"/>
    <w:rsid w:val="00E23D58"/>
    <w:rsid w:val="00E33DE5"/>
    <w:rsid w:val="00E43009"/>
    <w:rsid w:val="00E5219D"/>
    <w:rsid w:val="00E5701C"/>
    <w:rsid w:val="00E952C7"/>
    <w:rsid w:val="00EA58A4"/>
    <w:rsid w:val="00EC272C"/>
    <w:rsid w:val="00ED3A42"/>
    <w:rsid w:val="00EF07B7"/>
    <w:rsid w:val="00EF2FE0"/>
    <w:rsid w:val="00F0704C"/>
    <w:rsid w:val="00F4264B"/>
    <w:rsid w:val="00F6011A"/>
    <w:rsid w:val="00FB0802"/>
    <w:rsid w:val="00FC64D8"/>
    <w:rsid w:val="00FE5E1A"/>
    <w:rsid w:val="00FF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1FC2"/>
  <w15:docId w15:val="{CB53D234-33D6-4642-8D3F-D9E653CF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9E"/>
    <w:pPr>
      <w:spacing w:after="0" w:line="240" w:lineRule="auto"/>
    </w:pPr>
    <w:rPr>
      <w:rFonts w:ascii="Cambria" w:eastAsia="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983"/>
    <w:rPr>
      <w:rFonts w:ascii="Tahoma" w:hAnsi="Tahoma" w:cs="Tahoma"/>
      <w:sz w:val="16"/>
      <w:szCs w:val="16"/>
    </w:rPr>
  </w:style>
  <w:style w:type="character" w:customStyle="1" w:styleId="a4">
    <w:name w:val="Текст выноски Знак"/>
    <w:basedOn w:val="a0"/>
    <w:link w:val="a3"/>
    <w:uiPriority w:val="99"/>
    <w:semiHidden/>
    <w:rsid w:val="00185983"/>
    <w:rPr>
      <w:rFonts w:ascii="Tahoma" w:eastAsia="Cambria" w:hAnsi="Tahoma" w:cs="Tahoma"/>
      <w:sz w:val="16"/>
      <w:szCs w:val="16"/>
    </w:rPr>
  </w:style>
  <w:style w:type="paragraph" w:styleId="a5">
    <w:name w:val="caption"/>
    <w:basedOn w:val="a"/>
    <w:next w:val="a"/>
    <w:uiPriority w:val="35"/>
    <w:unhideWhenUsed/>
    <w:qFormat/>
    <w:rsid w:val="00161DEB"/>
    <w:pPr>
      <w:spacing w:after="200"/>
    </w:pPr>
    <w:rPr>
      <w:b/>
      <w:bCs/>
      <w:color w:val="4F81BD" w:themeColor="accent1"/>
      <w:sz w:val="18"/>
      <w:szCs w:val="18"/>
    </w:rPr>
  </w:style>
  <w:style w:type="paragraph" w:styleId="a6">
    <w:name w:val="header"/>
    <w:basedOn w:val="a"/>
    <w:link w:val="a7"/>
    <w:uiPriority w:val="99"/>
    <w:unhideWhenUsed/>
    <w:rsid w:val="00826A96"/>
    <w:pPr>
      <w:tabs>
        <w:tab w:val="center" w:pos="4677"/>
        <w:tab w:val="right" w:pos="9355"/>
      </w:tabs>
    </w:pPr>
  </w:style>
  <w:style w:type="character" w:customStyle="1" w:styleId="a7">
    <w:name w:val="Верхний колонтитул Знак"/>
    <w:basedOn w:val="a0"/>
    <w:link w:val="a6"/>
    <w:uiPriority w:val="99"/>
    <w:rsid w:val="00826A96"/>
    <w:rPr>
      <w:rFonts w:ascii="Cambria" w:eastAsia="Cambria" w:hAnsi="Cambria" w:cs="Times New Roman"/>
      <w:sz w:val="24"/>
      <w:szCs w:val="24"/>
    </w:rPr>
  </w:style>
  <w:style w:type="paragraph" w:styleId="a8">
    <w:name w:val="footer"/>
    <w:basedOn w:val="a"/>
    <w:link w:val="a9"/>
    <w:uiPriority w:val="99"/>
    <w:unhideWhenUsed/>
    <w:rsid w:val="00826A96"/>
    <w:pPr>
      <w:tabs>
        <w:tab w:val="center" w:pos="4677"/>
        <w:tab w:val="right" w:pos="9355"/>
      </w:tabs>
    </w:pPr>
  </w:style>
  <w:style w:type="character" w:customStyle="1" w:styleId="a9">
    <w:name w:val="Нижний колонтитул Знак"/>
    <w:basedOn w:val="a0"/>
    <w:link w:val="a8"/>
    <w:uiPriority w:val="99"/>
    <w:rsid w:val="00826A96"/>
    <w:rPr>
      <w:rFonts w:ascii="Cambria" w:eastAsia="Cambria" w:hAnsi="Cambria" w:cs="Times New Roman"/>
      <w:sz w:val="24"/>
      <w:szCs w:val="24"/>
    </w:rPr>
  </w:style>
  <w:style w:type="table" w:styleId="aa">
    <w:name w:val="Table Grid"/>
    <w:basedOn w:val="a1"/>
    <w:uiPriority w:val="59"/>
    <w:rsid w:val="0092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7610">
      <w:bodyDiv w:val="1"/>
      <w:marLeft w:val="0"/>
      <w:marRight w:val="0"/>
      <w:marTop w:val="0"/>
      <w:marBottom w:val="0"/>
      <w:divBdr>
        <w:top w:val="none" w:sz="0" w:space="0" w:color="auto"/>
        <w:left w:val="none" w:sz="0" w:space="0" w:color="auto"/>
        <w:bottom w:val="none" w:sz="0" w:space="0" w:color="auto"/>
        <w:right w:val="none" w:sz="0" w:space="0" w:color="auto"/>
      </w:divBdr>
    </w:div>
    <w:div w:id="819469133">
      <w:bodyDiv w:val="1"/>
      <w:marLeft w:val="0"/>
      <w:marRight w:val="0"/>
      <w:marTop w:val="0"/>
      <w:marBottom w:val="0"/>
      <w:divBdr>
        <w:top w:val="none" w:sz="0" w:space="0" w:color="auto"/>
        <w:left w:val="none" w:sz="0" w:space="0" w:color="auto"/>
        <w:bottom w:val="none" w:sz="0" w:space="0" w:color="auto"/>
        <w:right w:val="none" w:sz="0" w:space="0" w:color="auto"/>
      </w:divBdr>
    </w:div>
    <w:div w:id="957250559">
      <w:bodyDiv w:val="1"/>
      <w:marLeft w:val="0"/>
      <w:marRight w:val="0"/>
      <w:marTop w:val="0"/>
      <w:marBottom w:val="0"/>
      <w:divBdr>
        <w:top w:val="none" w:sz="0" w:space="0" w:color="auto"/>
        <w:left w:val="none" w:sz="0" w:space="0" w:color="auto"/>
        <w:bottom w:val="none" w:sz="0" w:space="0" w:color="auto"/>
        <w:right w:val="none" w:sz="0" w:space="0" w:color="auto"/>
      </w:divBdr>
    </w:div>
    <w:div w:id="1063720144">
      <w:bodyDiv w:val="1"/>
      <w:marLeft w:val="0"/>
      <w:marRight w:val="0"/>
      <w:marTop w:val="0"/>
      <w:marBottom w:val="0"/>
      <w:divBdr>
        <w:top w:val="none" w:sz="0" w:space="0" w:color="auto"/>
        <w:left w:val="none" w:sz="0" w:space="0" w:color="auto"/>
        <w:bottom w:val="none" w:sz="0" w:space="0" w:color="auto"/>
        <w:right w:val="none" w:sz="0" w:space="0" w:color="auto"/>
      </w:divBdr>
    </w:div>
    <w:div w:id="1168790498">
      <w:bodyDiv w:val="1"/>
      <w:marLeft w:val="0"/>
      <w:marRight w:val="0"/>
      <w:marTop w:val="0"/>
      <w:marBottom w:val="0"/>
      <w:divBdr>
        <w:top w:val="none" w:sz="0" w:space="0" w:color="auto"/>
        <w:left w:val="none" w:sz="0" w:space="0" w:color="auto"/>
        <w:bottom w:val="none" w:sz="0" w:space="0" w:color="auto"/>
        <w:right w:val="none" w:sz="0" w:space="0" w:color="auto"/>
      </w:divBdr>
    </w:div>
    <w:div w:id="17841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Кол-во вступивших организаций</c:v>
                </c:pt>
              </c:strCache>
            </c:strRef>
          </c:tx>
          <c:spPr>
            <a:pattFill prst="smGrid">
              <a:fgClr>
                <a:schemeClr val="accent1"/>
              </a:fgClr>
              <a:bgClr>
                <a:schemeClr val="bg1"/>
              </a:bgClr>
            </a:pattFill>
          </c:spPr>
          <c:invertIfNegative val="0"/>
          <c:cat>
            <c:numRef>
              <c:f>Лист1!$A$2:$A$10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Лист1!$B$2:$B$10</c:f>
              <c:numCache>
                <c:formatCode>General</c:formatCode>
                <c:ptCount val="9"/>
                <c:pt idx="0">
                  <c:v>7</c:v>
                </c:pt>
                <c:pt idx="1">
                  <c:v>27</c:v>
                </c:pt>
                <c:pt idx="2">
                  <c:v>30</c:v>
                </c:pt>
                <c:pt idx="3">
                  <c:v>12</c:v>
                </c:pt>
                <c:pt idx="4">
                  <c:v>11</c:v>
                </c:pt>
                <c:pt idx="5">
                  <c:v>11</c:v>
                </c:pt>
                <c:pt idx="6">
                  <c:v>9</c:v>
                </c:pt>
                <c:pt idx="7">
                  <c:v>8</c:v>
                </c:pt>
                <c:pt idx="8">
                  <c:v>7</c:v>
                </c:pt>
              </c:numCache>
            </c:numRef>
          </c:val>
          <c:extLst>
            <c:ext xmlns:c16="http://schemas.microsoft.com/office/drawing/2014/chart" uri="{C3380CC4-5D6E-409C-BE32-E72D297353CC}">
              <c16:uniqueId val="{00000000-B4A5-45BA-A10B-66A016F2D783}"/>
            </c:ext>
          </c:extLst>
        </c:ser>
        <c:ser>
          <c:idx val="1"/>
          <c:order val="1"/>
          <c:tx>
            <c:strRef>
              <c:f>Лист1!$C$1</c:f>
              <c:strCache>
                <c:ptCount val="1"/>
                <c:pt idx="0">
                  <c:v>Кол-во выбывших организаций</c:v>
                </c:pt>
              </c:strCache>
            </c:strRef>
          </c:tx>
          <c:invertIfNegative val="0"/>
          <c:cat>
            <c:numRef>
              <c:f>Лист1!$A$2:$A$10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Лист1!$C$2:$C$10</c:f>
              <c:numCache>
                <c:formatCode>General</c:formatCode>
                <c:ptCount val="9"/>
                <c:pt idx="0">
                  <c:v>11</c:v>
                </c:pt>
                <c:pt idx="1">
                  <c:v>8</c:v>
                </c:pt>
                <c:pt idx="2">
                  <c:v>11</c:v>
                </c:pt>
                <c:pt idx="3">
                  <c:v>5</c:v>
                </c:pt>
                <c:pt idx="4">
                  <c:v>5</c:v>
                </c:pt>
                <c:pt idx="5">
                  <c:v>9</c:v>
                </c:pt>
                <c:pt idx="6">
                  <c:v>6</c:v>
                </c:pt>
                <c:pt idx="7">
                  <c:v>10</c:v>
                </c:pt>
                <c:pt idx="8">
                  <c:v>8</c:v>
                </c:pt>
              </c:numCache>
            </c:numRef>
          </c:val>
          <c:extLst>
            <c:ext xmlns:c16="http://schemas.microsoft.com/office/drawing/2014/chart" uri="{C3380CC4-5D6E-409C-BE32-E72D297353CC}">
              <c16:uniqueId val="{00000001-B4A5-45BA-A10B-66A016F2D783}"/>
            </c:ext>
          </c:extLst>
        </c:ser>
        <c:dLbls>
          <c:showLegendKey val="0"/>
          <c:showVal val="0"/>
          <c:showCatName val="0"/>
          <c:showSerName val="0"/>
          <c:showPercent val="0"/>
          <c:showBubbleSize val="0"/>
        </c:dLbls>
        <c:gapWidth val="150"/>
        <c:axId val="176029184"/>
        <c:axId val="155367616"/>
      </c:barChart>
      <c:catAx>
        <c:axId val="176029184"/>
        <c:scaling>
          <c:orientation val="minMax"/>
        </c:scaling>
        <c:delete val="0"/>
        <c:axPos val="b"/>
        <c:numFmt formatCode="General" sourceLinked="1"/>
        <c:majorTickMark val="out"/>
        <c:minorTickMark val="none"/>
        <c:tickLblPos val="nextTo"/>
        <c:crossAx val="155367616"/>
        <c:crosses val="autoZero"/>
        <c:auto val="1"/>
        <c:lblAlgn val="ctr"/>
        <c:lblOffset val="100"/>
        <c:noMultiLvlLbl val="0"/>
      </c:catAx>
      <c:valAx>
        <c:axId val="155367616"/>
        <c:scaling>
          <c:orientation val="minMax"/>
        </c:scaling>
        <c:delete val="0"/>
        <c:axPos val="l"/>
        <c:majorGridlines/>
        <c:numFmt formatCode="General" sourceLinked="1"/>
        <c:majorTickMark val="out"/>
        <c:minorTickMark val="none"/>
        <c:tickLblPos val="nextTo"/>
        <c:crossAx val="176029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Добровольный выход</c:v>
                </c:pt>
              </c:strCache>
            </c:strRef>
          </c:tx>
          <c:invertIfNegative val="0"/>
          <c:cat>
            <c:strRef>
              <c:f>Лист1!$A$2:$A$10</c:f>
              <c:strCache>
                <c:ptCount val="9"/>
                <c:pt idx="0">
                  <c:v>2016г.</c:v>
                </c:pt>
                <c:pt idx="1">
                  <c:v>2017г</c:v>
                </c:pt>
                <c:pt idx="2">
                  <c:v>2018г.</c:v>
                </c:pt>
                <c:pt idx="3">
                  <c:v>2019г.</c:v>
                </c:pt>
                <c:pt idx="4">
                  <c:v>2020г.</c:v>
                </c:pt>
                <c:pt idx="5">
                  <c:v>2021г.</c:v>
                </c:pt>
                <c:pt idx="6">
                  <c:v>2022 г.</c:v>
                </c:pt>
                <c:pt idx="7">
                  <c:v>2023 г</c:v>
                </c:pt>
                <c:pt idx="8">
                  <c:v>2024 г.</c:v>
                </c:pt>
              </c:strCache>
            </c:strRef>
          </c:cat>
          <c:val>
            <c:numRef>
              <c:f>Лист1!$B$2:$B$10</c:f>
              <c:numCache>
                <c:formatCode>General</c:formatCode>
                <c:ptCount val="9"/>
                <c:pt idx="0">
                  <c:v>8</c:v>
                </c:pt>
                <c:pt idx="1">
                  <c:v>2</c:v>
                </c:pt>
                <c:pt idx="2">
                  <c:v>3</c:v>
                </c:pt>
                <c:pt idx="3">
                  <c:v>4</c:v>
                </c:pt>
                <c:pt idx="4">
                  <c:v>3</c:v>
                </c:pt>
                <c:pt idx="5">
                  <c:v>6</c:v>
                </c:pt>
                <c:pt idx="6">
                  <c:v>5</c:v>
                </c:pt>
                <c:pt idx="7">
                  <c:v>8</c:v>
                </c:pt>
                <c:pt idx="8">
                  <c:v>6</c:v>
                </c:pt>
              </c:numCache>
            </c:numRef>
          </c:val>
          <c:extLst>
            <c:ext xmlns:c16="http://schemas.microsoft.com/office/drawing/2014/chart" uri="{C3380CC4-5D6E-409C-BE32-E72D297353CC}">
              <c16:uniqueId val="{00000000-84E3-4FE9-950E-64B2762D9A6E}"/>
            </c:ext>
          </c:extLst>
        </c:ser>
        <c:ser>
          <c:idx val="1"/>
          <c:order val="1"/>
          <c:tx>
            <c:strRef>
              <c:f>Лист1!$C$1</c:f>
              <c:strCache>
                <c:ptCount val="1"/>
                <c:pt idx="0">
                  <c:v>Исключение </c:v>
                </c:pt>
              </c:strCache>
            </c:strRef>
          </c:tx>
          <c:invertIfNegative val="0"/>
          <c:cat>
            <c:strRef>
              <c:f>Лист1!$A$2:$A$10</c:f>
              <c:strCache>
                <c:ptCount val="9"/>
                <c:pt idx="0">
                  <c:v>2016г.</c:v>
                </c:pt>
                <c:pt idx="1">
                  <c:v>2017г</c:v>
                </c:pt>
                <c:pt idx="2">
                  <c:v>2018г.</c:v>
                </c:pt>
                <c:pt idx="3">
                  <c:v>2019г.</c:v>
                </c:pt>
                <c:pt idx="4">
                  <c:v>2020г.</c:v>
                </c:pt>
                <c:pt idx="5">
                  <c:v>2021г.</c:v>
                </c:pt>
                <c:pt idx="6">
                  <c:v>2022 г.</c:v>
                </c:pt>
                <c:pt idx="7">
                  <c:v>2023 г</c:v>
                </c:pt>
                <c:pt idx="8">
                  <c:v>2024 г.</c:v>
                </c:pt>
              </c:strCache>
            </c:strRef>
          </c:cat>
          <c:val>
            <c:numRef>
              <c:f>Лист1!$C$2:$C$10</c:f>
              <c:numCache>
                <c:formatCode>General</c:formatCode>
                <c:ptCount val="9"/>
                <c:pt idx="0">
                  <c:v>3</c:v>
                </c:pt>
                <c:pt idx="1">
                  <c:v>0</c:v>
                </c:pt>
                <c:pt idx="2">
                  <c:v>8</c:v>
                </c:pt>
                <c:pt idx="3">
                  <c:v>1</c:v>
                </c:pt>
                <c:pt idx="4">
                  <c:v>2</c:v>
                </c:pt>
                <c:pt idx="5">
                  <c:v>3</c:v>
                </c:pt>
                <c:pt idx="6">
                  <c:v>1</c:v>
                </c:pt>
                <c:pt idx="7">
                  <c:v>2</c:v>
                </c:pt>
                <c:pt idx="8">
                  <c:v>2</c:v>
                </c:pt>
              </c:numCache>
            </c:numRef>
          </c:val>
          <c:extLst>
            <c:ext xmlns:c16="http://schemas.microsoft.com/office/drawing/2014/chart" uri="{C3380CC4-5D6E-409C-BE32-E72D297353CC}">
              <c16:uniqueId val="{00000001-84E3-4FE9-950E-64B2762D9A6E}"/>
            </c:ext>
          </c:extLst>
        </c:ser>
        <c:dLbls>
          <c:showLegendKey val="0"/>
          <c:showVal val="0"/>
          <c:showCatName val="0"/>
          <c:showSerName val="0"/>
          <c:showPercent val="0"/>
          <c:showBubbleSize val="0"/>
        </c:dLbls>
        <c:gapWidth val="150"/>
        <c:overlap val="100"/>
        <c:axId val="177503232"/>
        <c:axId val="175955968"/>
      </c:barChart>
      <c:catAx>
        <c:axId val="177503232"/>
        <c:scaling>
          <c:orientation val="minMax"/>
        </c:scaling>
        <c:delete val="0"/>
        <c:axPos val="b"/>
        <c:numFmt formatCode="General" sourceLinked="1"/>
        <c:majorTickMark val="out"/>
        <c:minorTickMark val="none"/>
        <c:tickLblPos val="nextTo"/>
        <c:crossAx val="175955968"/>
        <c:crosses val="autoZero"/>
        <c:auto val="1"/>
        <c:lblAlgn val="ctr"/>
        <c:lblOffset val="100"/>
        <c:noMultiLvlLbl val="0"/>
      </c:catAx>
      <c:valAx>
        <c:axId val="175955968"/>
        <c:scaling>
          <c:orientation val="minMax"/>
        </c:scaling>
        <c:delete val="0"/>
        <c:axPos val="l"/>
        <c:majorGridlines/>
        <c:numFmt formatCode="General" sourceLinked="1"/>
        <c:majorTickMark val="out"/>
        <c:minorTickMark val="none"/>
        <c:tickLblPos val="nextTo"/>
        <c:crossAx val="1775032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Кол-во организаций</c:v>
                </c:pt>
              </c:strCache>
            </c:strRef>
          </c:tx>
          <c:dLbls>
            <c:dLbl>
              <c:idx val="0"/>
              <c:layout>
                <c:manualLayout>
                  <c:x val="-0.11594456893206315"/>
                  <c:y val="-4.98913368727931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21A-49E3-A985-C977E827971F}"/>
                </c:ext>
              </c:extLst>
            </c:dLbl>
            <c:dLbl>
              <c:idx val="1"/>
              <c:layout>
                <c:manualLayout>
                  <c:x val="2.4062608231204805E-2"/>
                  <c:y val="-2.04266160541007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21A-49E3-A985-C977E827971F}"/>
                </c:ext>
              </c:extLst>
            </c:dLbl>
            <c:dLbl>
              <c:idx val="2"/>
              <c:layout>
                <c:manualLayout>
                  <c:x val="8.5269706946408345E-3"/>
                  <c:y val="-1.9564150572383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21A-49E3-A985-C977E827971F}"/>
                </c:ext>
              </c:extLst>
            </c:dLbl>
            <c:dLbl>
              <c:idx val="3"/>
              <c:layout>
                <c:manualLayout>
                  <c:x val="1.5959173624759543E-2"/>
                  <c:y val="4.4285995195226006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21A-49E3-A985-C977E827971F}"/>
                </c:ext>
              </c:extLst>
            </c:dLbl>
            <c:dLbl>
              <c:idx val="4"/>
              <c:layout>
                <c:manualLayout>
                  <c:x val="-1.5651890890427258E-2"/>
                  <c:y val="-0.215499756341532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21A-49E3-A985-C977E827971F}"/>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Только функции застройщика</c:v>
                </c:pt>
                <c:pt idx="1">
                  <c:v>Только функции технического заказчика</c:v>
                </c:pt>
                <c:pt idx="2">
                  <c:v>Только с использованием конкурентных способов заключения договоров</c:v>
                </c:pt>
                <c:pt idx="3">
                  <c:v>Только без использования конкурентных способов заключения договоров</c:v>
                </c:pt>
                <c:pt idx="4">
                  <c:v>Комплекс</c:v>
                </c:pt>
              </c:strCache>
            </c:strRef>
          </c:cat>
          <c:val>
            <c:numRef>
              <c:f>Лист1!$B$2:$B$6</c:f>
              <c:numCache>
                <c:formatCode>0.00%</c:formatCode>
                <c:ptCount val="5"/>
                <c:pt idx="0">
                  <c:v>6.7000000000000004E-2</c:v>
                </c:pt>
                <c:pt idx="1">
                  <c:v>6.3E-2</c:v>
                </c:pt>
                <c:pt idx="2">
                  <c:v>5.0999999999999997E-2</c:v>
                </c:pt>
                <c:pt idx="3">
                  <c:v>0.32100000000000001</c:v>
                </c:pt>
                <c:pt idx="4">
                  <c:v>0.59</c:v>
                </c:pt>
              </c:numCache>
            </c:numRef>
          </c:val>
          <c:extLst>
            <c:ext xmlns:c16="http://schemas.microsoft.com/office/drawing/2014/chart" uri="{C3380CC4-5D6E-409C-BE32-E72D297353CC}">
              <c16:uniqueId val="{00000005-121A-49E3-A985-C977E827971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127715951245361"/>
          <c:y val="0.1742238409123941"/>
          <c:w val="0.41600423953365129"/>
          <c:h val="0.7860801764600271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Лист1!$B$2</c:f>
              <c:strCache>
                <c:ptCount val="1"/>
                <c:pt idx="0">
                  <c:v>До 10 специалистов</c:v>
                </c:pt>
              </c:strCache>
            </c:strRef>
          </c:tx>
          <c:invertIfNegative val="0"/>
          <c:cat>
            <c:numRef>
              <c:f>Лист1!$A$4:$A$11</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Лист1!$B$4:$B$11</c:f>
              <c:numCache>
                <c:formatCode>0.00%</c:formatCode>
                <c:ptCount val="8"/>
                <c:pt idx="0">
                  <c:v>0.76400000000000001</c:v>
                </c:pt>
                <c:pt idx="1">
                  <c:v>0.76500000000000001</c:v>
                </c:pt>
                <c:pt idx="2">
                  <c:v>0.80200000000000005</c:v>
                </c:pt>
                <c:pt idx="3" formatCode="0%">
                  <c:v>0.8</c:v>
                </c:pt>
                <c:pt idx="4" formatCode="0%">
                  <c:v>0.79</c:v>
                </c:pt>
                <c:pt idx="5" formatCode="0%">
                  <c:v>0.8</c:v>
                </c:pt>
                <c:pt idx="6" formatCode="0%">
                  <c:v>0.8</c:v>
                </c:pt>
                <c:pt idx="7" formatCode="0%">
                  <c:v>0.79</c:v>
                </c:pt>
              </c:numCache>
            </c:numRef>
          </c:val>
          <c:extLst>
            <c:ext xmlns:c16="http://schemas.microsoft.com/office/drawing/2014/chart" uri="{C3380CC4-5D6E-409C-BE32-E72D297353CC}">
              <c16:uniqueId val="{00000000-AC46-4287-8516-3776FA07AFFE}"/>
            </c:ext>
          </c:extLst>
        </c:ser>
        <c:ser>
          <c:idx val="1"/>
          <c:order val="1"/>
          <c:tx>
            <c:strRef>
              <c:f>Лист1!$C$2</c:f>
              <c:strCache>
                <c:ptCount val="1"/>
                <c:pt idx="0">
                  <c:v>от 10 до 20 специалистов</c:v>
                </c:pt>
              </c:strCache>
            </c:strRef>
          </c:tx>
          <c:invertIfNegative val="0"/>
          <c:cat>
            <c:numRef>
              <c:f>Лист1!$A$4:$A$11</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Лист1!$C$4:$C$11</c:f>
              <c:numCache>
                <c:formatCode>0.00%</c:formatCode>
                <c:ptCount val="8"/>
                <c:pt idx="0">
                  <c:v>0.17899999999999999</c:v>
                </c:pt>
                <c:pt idx="1">
                  <c:v>0.16800000000000001</c:v>
                </c:pt>
                <c:pt idx="2">
                  <c:v>0.155</c:v>
                </c:pt>
                <c:pt idx="3" formatCode="0%">
                  <c:v>0.16</c:v>
                </c:pt>
                <c:pt idx="4" formatCode="0%">
                  <c:v>0.17</c:v>
                </c:pt>
                <c:pt idx="5" formatCode="0%">
                  <c:v>0.16</c:v>
                </c:pt>
                <c:pt idx="6" formatCode="0%">
                  <c:v>0.15</c:v>
                </c:pt>
                <c:pt idx="7" formatCode="0%">
                  <c:v>0.16</c:v>
                </c:pt>
              </c:numCache>
            </c:numRef>
          </c:val>
          <c:extLst>
            <c:ext xmlns:c16="http://schemas.microsoft.com/office/drawing/2014/chart" uri="{C3380CC4-5D6E-409C-BE32-E72D297353CC}">
              <c16:uniqueId val="{00000001-AC46-4287-8516-3776FA07AFFE}"/>
            </c:ext>
          </c:extLst>
        </c:ser>
        <c:ser>
          <c:idx val="2"/>
          <c:order val="2"/>
          <c:tx>
            <c:strRef>
              <c:f>Лист1!$D$2</c:f>
              <c:strCache>
                <c:ptCount val="1"/>
                <c:pt idx="0">
                  <c:v>от 20 до 40 специалистов</c:v>
                </c:pt>
              </c:strCache>
            </c:strRef>
          </c:tx>
          <c:invertIfNegative val="0"/>
          <c:cat>
            <c:numRef>
              <c:f>Лист1!$A$4:$A$11</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Лист1!$D$4:$D$11</c:f>
              <c:numCache>
                <c:formatCode>0.00%</c:formatCode>
                <c:ptCount val="8"/>
                <c:pt idx="0">
                  <c:v>5.6000000000000001E-2</c:v>
                </c:pt>
                <c:pt idx="1">
                  <c:v>1.6E-2</c:v>
                </c:pt>
                <c:pt idx="2">
                  <c:v>3.4000000000000002E-2</c:v>
                </c:pt>
                <c:pt idx="3" formatCode="0%">
                  <c:v>0.03</c:v>
                </c:pt>
                <c:pt idx="4" formatCode="0%">
                  <c:v>0.03</c:v>
                </c:pt>
                <c:pt idx="5" formatCode="0%">
                  <c:v>0.03</c:v>
                </c:pt>
                <c:pt idx="6" formatCode="0%">
                  <c:v>0.03</c:v>
                </c:pt>
                <c:pt idx="7" formatCode="0%">
                  <c:v>0.03</c:v>
                </c:pt>
              </c:numCache>
            </c:numRef>
          </c:val>
          <c:extLst>
            <c:ext xmlns:c16="http://schemas.microsoft.com/office/drawing/2014/chart" uri="{C3380CC4-5D6E-409C-BE32-E72D297353CC}">
              <c16:uniqueId val="{00000002-AC46-4287-8516-3776FA07AFFE}"/>
            </c:ext>
          </c:extLst>
        </c:ser>
        <c:ser>
          <c:idx val="3"/>
          <c:order val="3"/>
          <c:tx>
            <c:strRef>
              <c:f>Лист1!$E$2</c:f>
              <c:strCache>
                <c:ptCount val="1"/>
                <c:pt idx="0">
                  <c:v>Свыше 40 специалистов</c:v>
                </c:pt>
              </c:strCache>
            </c:strRef>
          </c:tx>
          <c:invertIfNegative val="0"/>
          <c:cat>
            <c:numRef>
              <c:f>Лист1!$A$4:$A$11</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Лист1!$E$4:$E$11</c:f>
              <c:numCache>
                <c:formatCode>0.00%</c:formatCode>
                <c:ptCount val="8"/>
                <c:pt idx="0" formatCode="0%">
                  <c:v>0</c:v>
                </c:pt>
                <c:pt idx="1">
                  <c:v>8.0000000000000002E-3</c:v>
                </c:pt>
                <c:pt idx="2">
                  <c:v>8.9999999999999993E-3</c:v>
                </c:pt>
                <c:pt idx="3" formatCode="0%">
                  <c:v>0.01</c:v>
                </c:pt>
                <c:pt idx="4" formatCode="0%">
                  <c:v>0.01</c:v>
                </c:pt>
                <c:pt idx="5" formatCode="0%">
                  <c:v>0.01</c:v>
                </c:pt>
                <c:pt idx="6" formatCode="0%">
                  <c:v>0.02</c:v>
                </c:pt>
                <c:pt idx="7" formatCode="0%">
                  <c:v>0.02</c:v>
                </c:pt>
              </c:numCache>
            </c:numRef>
          </c:val>
          <c:extLst>
            <c:ext xmlns:c16="http://schemas.microsoft.com/office/drawing/2014/chart" uri="{C3380CC4-5D6E-409C-BE32-E72D297353CC}">
              <c16:uniqueId val="{00000003-AC46-4287-8516-3776FA07AFFE}"/>
            </c:ext>
          </c:extLst>
        </c:ser>
        <c:dLbls>
          <c:showLegendKey val="0"/>
          <c:showVal val="0"/>
          <c:showCatName val="0"/>
          <c:showSerName val="0"/>
          <c:showPercent val="0"/>
          <c:showBubbleSize val="0"/>
        </c:dLbls>
        <c:gapWidth val="150"/>
        <c:axId val="177503744"/>
        <c:axId val="175960000"/>
      </c:barChart>
      <c:catAx>
        <c:axId val="177503744"/>
        <c:scaling>
          <c:orientation val="minMax"/>
        </c:scaling>
        <c:delete val="0"/>
        <c:axPos val="b"/>
        <c:numFmt formatCode="General" sourceLinked="1"/>
        <c:majorTickMark val="out"/>
        <c:minorTickMark val="none"/>
        <c:tickLblPos val="nextTo"/>
        <c:crossAx val="175960000"/>
        <c:crosses val="autoZero"/>
        <c:auto val="1"/>
        <c:lblAlgn val="ctr"/>
        <c:lblOffset val="100"/>
        <c:noMultiLvlLbl val="0"/>
      </c:catAx>
      <c:valAx>
        <c:axId val="175960000"/>
        <c:scaling>
          <c:orientation val="minMax"/>
        </c:scaling>
        <c:delete val="0"/>
        <c:axPos val="l"/>
        <c:majorGridlines/>
        <c:numFmt formatCode="0.00%" sourceLinked="1"/>
        <c:majorTickMark val="out"/>
        <c:minorTickMark val="none"/>
        <c:tickLblPos val="nextTo"/>
        <c:crossAx val="17750374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4181977252843"/>
          <c:y val="4.4057617797775277E-2"/>
          <c:w val="0.68099156118143467"/>
          <c:h val="0.37412777785603268"/>
        </c:manualLayout>
      </c:layout>
      <c:barChart>
        <c:barDir val="col"/>
        <c:grouping val="clustered"/>
        <c:varyColors val="0"/>
        <c:ser>
          <c:idx val="0"/>
          <c:order val="0"/>
          <c:tx>
            <c:strRef>
              <c:f>Лист1!$B$1</c:f>
              <c:strCache>
                <c:ptCount val="1"/>
                <c:pt idx="0">
                  <c:v>Сведения о фактическом совокупном размере обязательств по договорам по состоянию на 1 января отчетного года</c:v>
                </c:pt>
              </c:strCache>
            </c:strRef>
          </c:tx>
          <c:invertIfNegative val="0"/>
          <c:dPt>
            <c:idx val="0"/>
            <c:invertIfNegative val="0"/>
            <c:bubble3D val="0"/>
            <c:spPr>
              <a:solidFill>
                <a:schemeClr val="accent1"/>
              </a:solidFill>
            </c:spPr>
            <c:extLst>
              <c:ext xmlns:c16="http://schemas.microsoft.com/office/drawing/2014/chart" uri="{C3380CC4-5D6E-409C-BE32-E72D297353CC}">
                <c16:uniqueId val="{00000001-6B70-4EDC-8D9F-9D3D16A4349F}"/>
              </c:ext>
            </c:extLst>
          </c:dPt>
          <c:cat>
            <c:strRef>
              <c:f>Лист1!$A$2:$A$4</c:f>
              <c:strCache>
                <c:ptCount val="3"/>
                <c:pt idx="0">
                  <c:v>Среднее значение (тыс. руб.) по данным за 2022 г.  </c:v>
                </c:pt>
                <c:pt idx="1">
                  <c:v>Среднее значение (тыс. руб.) по данным за 2023 г.  </c:v>
                </c:pt>
                <c:pt idx="2">
                  <c:v>Среднее значение (тыс. руб.) по данным за 2024 г.  </c:v>
                </c:pt>
              </c:strCache>
            </c:strRef>
          </c:cat>
          <c:val>
            <c:numRef>
              <c:f>Лист1!$B$2:$B$4</c:f>
              <c:numCache>
                <c:formatCode>#,##0.00</c:formatCode>
                <c:ptCount val="3"/>
                <c:pt idx="0">
                  <c:v>85117</c:v>
                </c:pt>
                <c:pt idx="1">
                  <c:v>79816.53</c:v>
                </c:pt>
                <c:pt idx="2">
                  <c:v>39454</c:v>
                </c:pt>
              </c:numCache>
            </c:numRef>
          </c:val>
          <c:extLst>
            <c:ext xmlns:c16="http://schemas.microsoft.com/office/drawing/2014/chart" uri="{C3380CC4-5D6E-409C-BE32-E72D297353CC}">
              <c16:uniqueId val="{00000002-6B70-4EDC-8D9F-9D3D16A4349F}"/>
            </c:ext>
          </c:extLst>
        </c:ser>
        <c:ser>
          <c:idx val="1"/>
          <c:order val="1"/>
          <c:tx>
            <c:strRef>
              <c:f>Лист1!$C$1</c:f>
              <c:strCache>
                <c:ptCount val="1"/>
                <c:pt idx="0">
                  <c:v>Сведения о фактическом совокупном размере обязательств по договорам, которые были заключены в течение отчетного периода</c:v>
                </c:pt>
              </c:strCache>
            </c:strRef>
          </c:tx>
          <c:invertIfNegative val="0"/>
          <c:cat>
            <c:strRef>
              <c:f>Лист1!$A$2:$A$4</c:f>
              <c:strCache>
                <c:ptCount val="3"/>
                <c:pt idx="0">
                  <c:v>Среднее значение (тыс. руб.) по данным за 2022 г.  </c:v>
                </c:pt>
                <c:pt idx="1">
                  <c:v>Среднее значение (тыс. руб.) по данным за 2023 г.  </c:v>
                </c:pt>
                <c:pt idx="2">
                  <c:v>Среднее значение (тыс. руб.) по данным за 2024 г.  </c:v>
                </c:pt>
              </c:strCache>
            </c:strRef>
          </c:cat>
          <c:val>
            <c:numRef>
              <c:f>Лист1!$C$2:$C$4</c:f>
              <c:numCache>
                <c:formatCode>#,##0.00</c:formatCode>
                <c:ptCount val="3"/>
                <c:pt idx="0">
                  <c:v>237233.1</c:v>
                </c:pt>
                <c:pt idx="1">
                  <c:v>205145.9</c:v>
                </c:pt>
                <c:pt idx="2">
                  <c:v>282712</c:v>
                </c:pt>
              </c:numCache>
            </c:numRef>
          </c:val>
          <c:extLst>
            <c:ext xmlns:c16="http://schemas.microsoft.com/office/drawing/2014/chart" uri="{C3380CC4-5D6E-409C-BE32-E72D297353CC}">
              <c16:uniqueId val="{00000003-6B70-4EDC-8D9F-9D3D16A4349F}"/>
            </c:ext>
          </c:extLst>
        </c:ser>
        <c:ser>
          <c:idx val="2"/>
          <c:order val="2"/>
          <c:tx>
            <c:strRef>
              <c:f>Лист1!$D$1</c:f>
              <c:strCache>
                <c:ptCount val="1"/>
                <c:pt idx="0">
                  <c:v>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и(или) исполнение по которым сторонами прекращено по основаниям, предусмотренным зак</c:v>
                </c:pt>
              </c:strCache>
            </c:strRef>
          </c:tx>
          <c:invertIfNegative val="0"/>
          <c:cat>
            <c:strRef>
              <c:f>Лист1!$A$2:$A$4</c:f>
              <c:strCache>
                <c:ptCount val="3"/>
                <c:pt idx="0">
                  <c:v>Среднее значение (тыс. руб.) по данным за 2022 г.  </c:v>
                </c:pt>
                <c:pt idx="1">
                  <c:v>Среднее значение (тыс. руб.) по данным за 2023 г.  </c:v>
                </c:pt>
                <c:pt idx="2">
                  <c:v>Среднее значение (тыс. руб.) по данным за 2024 г.  </c:v>
                </c:pt>
              </c:strCache>
            </c:strRef>
          </c:cat>
          <c:val>
            <c:numRef>
              <c:f>Лист1!$D$2:$D$4</c:f>
              <c:numCache>
                <c:formatCode>General</c:formatCode>
                <c:ptCount val="3"/>
                <c:pt idx="0">
                  <c:v>179574.6</c:v>
                </c:pt>
                <c:pt idx="1">
                  <c:v>205113.48</c:v>
                </c:pt>
                <c:pt idx="2">
                  <c:v>108810</c:v>
                </c:pt>
              </c:numCache>
            </c:numRef>
          </c:val>
          <c:extLst>
            <c:ext xmlns:c16="http://schemas.microsoft.com/office/drawing/2014/chart" uri="{C3380CC4-5D6E-409C-BE32-E72D297353CC}">
              <c16:uniqueId val="{00000004-6B70-4EDC-8D9F-9D3D16A4349F}"/>
            </c:ext>
          </c:extLst>
        </c:ser>
        <c:ser>
          <c:idx val="3"/>
          <c:order val="3"/>
          <c:tx>
            <c:strRef>
              <c:f>Лист1!$E$1</c:f>
              <c:strCache>
                <c:ptCount val="1"/>
                <c:pt idx="0">
                  <c:v>Сведения о фактическом совокупном размере обязательств по всем договорам, которые заключены и исполнение которых на 31 декабря отчетного периода не завершено</c:v>
                </c:pt>
              </c:strCache>
            </c:strRef>
          </c:tx>
          <c:invertIfNegative val="0"/>
          <c:cat>
            <c:strRef>
              <c:f>Лист1!$A$2:$A$4</c:f>
              <c:strCache>
                <c:ptCount val="3"/>
                <c:pt idx="0">
                  <c:v>Среднее значение (тыс. руб.) по данным за 2022 г.  </c:v>
                </c:pt>
                <c:pt idx="1">
                  <c:v>Среднее значение (тыс. руб.) по данным за 2023 г.  </c:v>
                </c:pt>
                <c:pt idx="2">
                  <c:v>Среднее значение (тыс. руб.) по данным за 2024 г.  </c:v>
                </c:pt>
              </c:strCache>
            </c:strRef>
          </c:cat>
          <c:val>
            <c:numRef>
              <c:f>Лист1!$E$2:$E$4</c:f>
              <c:numCache>
                <c:formatCode>General</c:formatCode>
                <c:ptCount val="3"/>
                <c:pt idx="0">
                  <c:v>79816.53</c:v>
                </c:pt>
                <c:pt idx="1">
                  <c:v>79848.95</c:v>
                </c:pt>
                <c:pt idx="2">
                  <c:v>213856</c:v>
                </c:pt>
              </c:numCache>
            </c:numRef>
          </c:val>
          <c:extLst>
            <c:ext xmlns:c16="http://schemas.microsoft.com/office/drawing/2014/chart" uri="{C3380CC4-5D6E-409C-BE32-E72D297353CC}">
              <c16:uniqueId val="{00000005-6B70-4EDC-8D9F-9D3D16A4349F}"/>
            </c:ext>
          </c:extLst>
        </c:ser>
        <c:dLbls>
          <c:showLegendKey val="0"/>
          <c:showVal val="0"/>
          <c:showCatName val="0"/>
          <c:showSerName val="0"/>
          <c:showPercent val="0"/>
          <c:showBubbleSize val="0"/>
        </c:dLbls>
        <c:gapWidth val="150"/>
        <c:axId val="160138240"/>
        <c:axId val="160355392"/>
      </c:barChart>
      <c:catAx>
        <c:axId val="160138240"/>
        <c:scaling>
          <c:orientation val="minMax"/>
        </c:scaling>
        <c:delete val="0"/>
        <c:axPos val="b"/>
        <c:numFmt formatCode="General" sourceLinked="0"/>
        <c:majorTickMark val="out"/>
        <c:minorTickMark val="none"/>
        <c:tickLblPos val="nextTo"/>
        <c:crossAx val="160355392"/>
        <c:crosses val="autoZero"/>
        <c:auto val="1"/>
        <c:lblAlgn val="ctr"/>
        <c:lblOffset val="100"/>
        <c:noMultiLvlLbl val="0"/>
      </c:catAx>
      <c:valAx>
        <c:axId val="160355392"/>
        <c:scaling>
          <c:orientation val="minMax"/>
        </c:scaling>
        <c:delete val="0"/>
        <c:axPos val="l"/>
        <c:majorGridlines/>
        <c:numFmt formatCode="#,##0.00" sourceLinked="1"/>
        <c:majorTickMark val="out"/>
        <c:minorTickMark val="none"/>
        <c:tickLblPos val="nextTo"/>
        <c:crossAx val="160138240"/>
        <c:crosses val="autoZero"/>
        <c:crossBetween val="between"/>
      </c:valAx>
    </c:plotArea>
    <c:legend>
      <c:legendPos val="b"/>
      <c:layout>
        <c:manualLayout>
          <c:xMode val="edge"/>
          <c:yMode val="edge"/>
          <c:x val="4.1957207880660485E-2"/>
          <c:y val="0.55075917397117813"/>
          <c:w val="0.8781107345758995"/>
          <c:h val="0.4468196394949736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9513-E24C-4EB3-B715-1E13F73F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СРО НП ППК</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MarchenkoEA</dc:creator>
  <cp:lastModifiedBy>Мария</cp:lastModifiedBy>
  <cp:revision>9</cp:revision>
  <cp:lastPrinted>2021-09-30T02:49:00Z</cp:lastPrinted>
  <dcterms:created xsi:type="dcterms:W3CDTF">2025-05-13T01:20:00Z</dcterms:created>
  <dcterms:modified xsi:type="dcterms:W3CDTF">2025-05-13T02:03:00Z</dcterms:modified>
</cp:coreProperties>
</file>