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90" w:rsidRDefault="00346290" w:rsidP="00346290">
      <w:pPr>
        <w:ind w:firstLine="709"/>
        <w:jc w:val="center"/>
        <w:rPr>
          <w:rFonts w:ascii="Times New Roman" w:eastAsia="Andale Sans UI" w:hAnsi="Times New Roman"/>
          <w:b/>
          <w:kern w:val="1"/>
          <w:lang w:eastAsia="fa-IR" w:bidi="fa-IR"/>
        </w:rPr>
      </w:pPr>
    </w:p>
    <w:p w:rsidR="00057C9E" w:rsidRPr="00C244BC" w:rsidRDefault="00057C9E" w:rsidP="00346290">
      <w:pPr>
        <w:ind w:firstLine="709"/>
        <w:jc w:val="center"/>
        <w:rPr>
          <w:rFonts w:ascii="Times New Roman" w:eastAsia="Andale Sans UI" w:hAnsi="Times New Roman"/>
          <w:b/>
          <w:kern w:val="1"/>
          <w:lang w:eastAsia="fa-IR" w:bidi="fa-IR"/>
        </w:rPr>
      </w:pPr>
      <w:r w:rsidRPr="00C244BC">
        <w:rPr>
          <w:rFonts w:ascii="Times New Roman" w:eastAsia="Andale Sans UI" w:hAnsi="Times New Roman"/>
          <w:b/>
          <w:kern w:val="1"/>
          <w:lang w:eastAsia="fa-IR" w:bidi="fa-IR"/>
        </w:rPr>
        <w:t>АНАЛИЗ</w:t>
      </w:r>
    </w:p>
    <w:p w:rsidR="00057C9E" w:rsidRPr="00057C9E" w:rsidRDefault="00057C9E" w:rsidP="00346290">
      <w:pPr>
        <w:widowControl w:val="0"/>
        <w:suppressAutoHyphens/>
        <w:ind w:firstLine="709"/>
        <w:jc w:val="center"/>
        <w:textAlignment w:val="baseline"/>
        <w:rPr>
          <w:rFonts w:ascii="Times New Roman" w:eastAsia="Andale Sans UI" w:hAnsi="Times New Roman"/>
          <w:b/>
          <w:kern w:val="1"/>
          <w:lang w:eastAsia="fa-IR" w:bidi="fa-IR"/>
        </w:rPr>
      </w:pPr>
      <w:r w:rsidRPr="00057C9E">
        <w:rPr>
          <w:rFonts w:ascii="Times New Roman" w:eastAsia="Andale Sans UI" w:hAnsi="Times New Roman"/>
          <w:b/>
          <w:kern w:val="1"/>
          <w:lang w:eastAsia="fa-IR" w:bidi="fa-IR"/>
        </w:rPr>
        <w:t xml:space="preserve">деятельности членов </w:t>
      </w:r>
      <w:r w:rsidR="00D7166B">
        <w:rPr>
          <w:rFonts w:ascii="Times New Roman" w:eastAsia="Andale Sans UI" w:hAnsi="Times New Roman"/>
          <w:b/>
          <w:kern w:val="1"/>
          <w:lang w:eastAsia="fa-IR" w:bidi="fa-IR"/>
        </w:rPr>
        <w:t xml:space="preserve">Ассоциации </w:t>
      </w:r>
      <w:r w:rsidRPr="00057C9E">
        <w:rPr>
          <w:rFonts w:ascii="Times New Roman" w:eastAsia="Andale Sans UI" w:hAnsi="Times New Roman"/>
          <w:b/>
          <w:kern w:val="1"/>
          <w:lang w:eastAsia="fa-IR" w:bidi="fa-IR"/>
        </w:rPr>
        <w:t xml:space="preserve">СРО </w:t>
      </w:r>
      <w:r w:rsidR="00D7166B">
        <w:rPr>
          <w:rFonts w:ascii="Times New Roman" w:eastAsia="Andale Sans UI" w:hAnsi="Times New Roman"/>
          <w:b/>
          <w:kern w:val="1"/>
          <w:lang w:eastAsia="fa-IR" w:bidi="fa-IR"/>
        </w:rPr>
        <w:t>«</w:t>
      </w:r>
      <w:r w:rsidRPr="00C244BC">
        <w:rPr>
          <w:rFonts w:ascii="Times New Roman" w:eastAsia="Andale Sans UI" w:hAnsi="Times New Roman"/>
          <w:b/>
          <w:kern w:val="1"/>
          <w:lang w:eastAsia="fa-IR" w:bidi="fa-IR"/>
        </w:rPr>
        <w:t>ППК</w:t>
      </w:r>
      <w:r w:rsidR="00D7166B">
        <w:rPr>
          <w:rFonts w:ascii="Times New Roman" w:eastAsia="Andale Sans UI" w:hAnsi="Times New Roman"/>
          <w:b/>
          <w:kern w:val="1"/>
          <w:lang w:eastAsia="fa-IR" w:bidi="fa-IR"/>
        </w:rPr>
        <w:t>»</w:t>
      </w:r>
    </w:p>
    <w:p w:rsidR="00057C9E" w:rsidRPr="00057C9E" w:rsidRDefault="00057C9E" w:rsidP="00346290">
      <w:pPr>
        <w:widowControl w:val="0"/>
        <w:suppressAutoHyphens/>
        <w:ind w:firstLine="709"/>
        <w:jc w:val="center"/>
        <w:textAlignment w:val="baseline"/>
        <w:rPr>
          <w:rFonts w:ascii="Times New Roman" w:eastAsia="Andale Sans UI" w:hAnsi="Times New Roman"/>
          <w:b/>
          <w:kern w:val="1"/>
          <w:lang w:eastAsia="fa-IR" w:bidi="fa-IR"/>
        </w:rPr>
      </w:pPr>
      <w:r w:rsidRPr="00057C9E">
        <w:rPr>
          <w:rFonts w:ascii="Times New Roman" w:eastAsia="Andale Sans UI" w:hAnsi="Times New Roman"/>
          <w:b/>
          <w:kern w:val="1"/>
          <w:lang w:eastAsia="fa-IR" w:bidi="fa-IR"/>
        </w:rPr>
        <w:t>на основе информации, представленной членами в форме отчетов</w:t>
      </w:r>
    </w:p>
    <w:p w:rsidR="00057C9E" w:rsidRDefault="00057C9E" w:rsidP="00346290">
      <w:pPr>
        <w:widowControl w:val="0"/>
        <w:suppressAutoHyphens/>
        <w:ind w:firstLine="709"/>
        <w:jc w:val="center"/>
        <w:textAlignment w:val="baseline"/>
        <w:rPr>
          <w:rFonts w:ascii="Times New Roman" w:eastAsia="Andale Sans UI" w:hAnsi="Times New Roman"/>
          <w:b/>
          <w:kern w:val="1"/>
          <w:lang w:eastAsia="fa-IR" w:bidi="fa-IR"/>
        </w:rPr>
      </w:pPr>
      <w:r w:rsidRPr="00057C9E">
        <w:rPr>
          <w:rFonts w:ascii="Times New Roman" w:eastAsia="Andale Sans UI" w:hAnsi="Times New Roman"/>
          <w:b/>
          <w:kern w:val="1"/>
          <w:lang w:eastAsia="fa-IR" w:bidi="fa-IR"/>
        </w:rPr>
        <w:t>за 201</w:t>
      </w:r>
      <w:r w:rsidR="008529D8">
        <w:rPr>
          <w:rFonts w:ascii="Times New Roman" w:eastAsia="Andale Sans UI" w:hAnsi="Times New Roman"/>
          <w:b/>
          <w:kern w:val="1"/>
          <w:lang w:eastAsia="fa-IR" w:bidi="fa-IR"/>
        </w:rPr>
        <w:t>6</w:t>
      </w:r>
      <w:r w:rsidRPr="00057C9E">
        <w:rPr>
          <w:rFonts w:ascii="Times New Roman" w:eastAsia="Andale Sans UI" w:hAnsi="Times New Roman"/>
          <w:b/>
          <w:kern w:val="1"/>
          <w:lang w:eastAsia="fa-IR" w:bidi="fa-IR"/>
        </w:rPr>
        <w:t xml:space="preserve"> год</w:t>
      </w:r>
    </w:p>
    <w:p w:rsidR="00346290" w:rsidRPr="00057C9E" w:rsidRDefault="00346290" w:rsidP="00346290">
      <w:pPr>
        <w:widowControl w:val="0"/>
        <w:suppressAutoHyphens/>
        <w:ind w:firstLine="709"/>
        <w:jc w:val="center"/>
        <w:textAlignment w:val="baseline"/>
        <w:rPr>
          <w:rFonts w:ascii="Times New Roman" w:eastAsia="Andale Sans UI" w:hAnsi="Times New Roman"/>
          <w:kern w:val="1"/>
          <w:lang w:eastAsia="fa-IR" w:bidi="fa-IR"/>
        </w:rPr>
      </w:pPr>
    </w:p>
    <w:p w:rsidR="00057C9E" w:rsidRPr="00057C9E" w:rsidRDefault="00057C9E" w:rsidP="00346290">
      <w:pPr>
        <w:widowControl w:val="0"/>
        <w:suppressAutoHyphens/>
        <w:ind w:firstLine="709"/>
        <w:jc w:val="both"/>
        <w:textAlignment w:val="baseline"/>
        <w:rPr>
          <w:rFonts w:ascii="Times New Roman" w:eastAsia="Andale Sans UI" w:hAnsi="Times New Roman"/>
          <w:kern w:val="1"/>
          <w:lang w:eastAsia="fa-IR" w:bidi="fa-IR"/>
        </w:rPr>
      </w:pPr>
    </w:p>
    <w:p w:rsidR="00057C9E" w:rsidRPr="00057C9E" w:rsidRDefault="0098551C" w:rsidP="00346290">
      <w:pPr>
        <w:widowControl w:val="0"/>
        <w:suppressAutoHyphens/>
        <w:ind w:firstLine="709"/>
        <w:jc w:val="both"/>
        <w:textAlignment w:val="baseline"/>
        <w:rPr>
          <w:rFonts w:ascii="Times New Roman" w:eastAsia="Andale Sans UI" w:hAnsi="Times New Roman"/>
          <w:kern w:val="1"/>
          <w:lang w:eastAsia="fa-IR" w:bidi="fa-IR"/>
        </w:rPr>
      </w:pPr>
      <w:r>
        <w:rPr>
          <w:rFonts w:ascii="Times New Roman" w:eastAsia="Andale Sans UI" w:hAnsi="Times New Roman"/>
          <w:kern w:val="1"/>
          <w:lang w:eastAsia="fa-IR" w:bidi="fa-IR"/>
        </w:rPr>
        <w:t xml:space="preserve"> </w:t>
      </w:r>
      <w:r w:rsidR="00057C9E" w:rsidRPr="00057C9E">
        <w:rPr>
          <w:rFonts w:ascii="Times New Roman" w:eastAsia="Andale Sans UI" w:hAnsi="Times New Roman"/>
          <w:kern w:val="1"/>
          <w:lang w:eastAsia="fa-IR" w:bidi="fa-IR"/>
        </w:rPr>
        <w:t xml:space="preserve">Настоящий анализ деятельности членов </w:t>
      </w:r>
      <w:r w:rsidR="00D7166B" w:rsidRPr="00D7166B">
        <w:rPr>
          <w:rFonts w:ascii="Times New Roman" w:eastAsia="Andale Sans UI" w:hAnsi="Times New Roman"/>
          <w:kern w:val="1"/>
          <w:lang w:eastAsia="fa-IR" w:bidi="fa-IR"/>
        </w:rPr>
        <w:t>Ассоциации СРО «ППК»</w:t>
      </w:r>
      <w:r w:rsidR="00D7166B">
        <w:rPr>
          <w:rFonts w:ascii="Times New Roman" w:eastAsia="Andale Sans UI" w:hAnsi="Times New Roman"/>
          <w:kern w:val="1"/>
          <w:lang w:eastAsia="fa-IR" w:bidi="fa-IR"/>
        </w:rPr>
        <w:t xml:space="preserve"> </w:t>
      </w:r>
      <w:r w:rsidR="00057C9E" w:rsidRPr="00057C9E">
        <w:rPr>
          <w:rFonts w:ascii="Times New Roman" w:eastAsia="Andale Sans UI" w:hAnsi="Times New Roman"/>
          <w:kern w:val="1"/>
          <w:lang w:eastAsia="fa-IR" w:bidi="fa-IR"/>
        </w:rPr>
        <w:t>подготовлен в соответствии с пунктом 4 части 1 статьи 6 Федерального закона от 01.12.2007 № 315-ФЗ «О саморегулируемых организациях», пунктом 3.</w:t>
      </w:r>
      <w:r w:rsidR="00790F68" w:rsidRPr="00C244BC">
        <w:rPr>
          <w:rFonts w:ascii="Times New Roman" w:eastAsia="Andale Sans UI" w:hAnsi="Times New Roman"/>
          <w:kern w:val="1"/>
          <w:lang w:eastAsia="fa-IR" w:bidi="fa-IR"/>
        </w:rPr>
        <w:t>4</w:t>
      </w:r>
      <w:r w:rsidR="00057C9E" w:rsidRPr="00057C9E">
        <w:rPr>
          <w:rFonts w:ascii="Times New Roman" w:eastAsia="Andale Sans UI" w:hAnsi="Times New Roman"/>
          <w:kern w:val="1"/>
          <w:lang w:eastAsia="fa-IR" w:bidi="fa-IR"/>
        </w:rPr>
        <w:t xml:space="preserve"> Устава </w:t>
      </w:r>
      <w:r w:rsidR="00D7166B" w:rsidRPr="00D7166B">
        <w:rPr>
          <w:rFonts w:ascii="Times New Roman" w:eastAsia="Andale Sans UI" w:hAnsi="Times New Roman"/>
          <w:kern w:val="1"/>
          <w:lang w:eastAsia="fa-IR" w:bidi="fa-IR"/>
        </w:rPr>
        <w:t>Ассоциации</w:t>
      </w:r>
      <w:r w:rsidR="00057C9E" w:rsidRPr="00057C9E">
        <w:rPr>
          <w:rFonts w:ascii="Times New Roman" w:eastAsia="Andale Sans UI" w:hAnsi="Times New Roman"/>
          <w:kern w:val="1"/>
          <w:lang w:eastAsia="fa-IR" w:bidi="fa-IR"/>
        </w:rPr>
        <w:t xml:space="preserve"> и </w:t>
      </w:r>
      <w:r w:rsidR="00790F68" w:rsidRPr="00C244BC">
        <w:rPr>
          <w:rFonts w:ascii="Times New Roman" w:eastAsia="Andale Sans UI" w:hAnsi="Times New Roman"/>
          <w:kern w:val="1"/>
          <w:lang w:eastAsia="fa-IR" w:bidi="fa-IR"/>
        </w:rPr>
        <w:t>Правилами контроля в области саморегулирования</w:t>
      </w:r>
      <w:r w:rsidR="00057C9E" w:rsidRPr="00057C9E">
        <w:rPr>
          <w:rFonts w:ascii="Times New Roman" w:eastAsia="Andale Sans UI" w:hAnsi="Times New Roman"/>
          <w:kern w:val="1"/>
          <w:lang w:eastAsia="fa-IR" w:bidi="fa-IR"/>
        </w:rPr>
        <w:t xml:space="preserve"> на основании информации, представляемой членами в форме отчетов</w:t>
      </w:r>
      <w:r w:rsidR="002A1A30">
        <w:rPr>
          <w:rFonts w:ascii="Times New Roman" w:eastAsia="Andale Sans UI" w:hAnsi="Times New Roman"/>
          <w:kern w:val="1"/>
          <w:lang w:eastAsia="fa-IR" w:bidi="fa-IR"/>
        </w:rPr>
        <w:t xml:space="preserve"> о деятельности</w:t>
      </w:r>
      <w:r w:rsidR="00790F68" w:rsidRPr="00C244BC">
        <w:rPr>
          <w:rFonts w:ascii="Times New Roman" w:eastAsia="Andale Sans UI" w:hAnsi="Times New Roman"/>
          <w:kern w:val="1"/>
          <w:lang w:eastAsia="fa-IR" w:bidi="fa-IR"/>
        </w:rPr>
        <w:t>.</w:t>
      </w:r>
    </w:p>
    <w:p w:rsidR="00057C9E" w:rsidRPr="00C244BC" w:rsidRDefault="00057C9E" w:rsidP="00346290">
      <w:pPr>
        <w:ind w:firstLine="709"/>
        <w:jc w:val="both"/>
        <w:rPr>
          <w:rFonts w:ascii="Times New Roman" w:hAnsi="Times New Roman"/>
        </w:rPr>
      </w:pPr>
    </w:p>
    <w:p w:rsidR="00E23D58" w:rsidRDefault="00A52D03" w:rsidP="00320923">
      <w:pPr>
        <w:ind w:firstLine="709"/>
        <w:jc w:val="both"/>
        <w:rPr>
          <w:rFonts w:ascii="Times New Roman" w:hAnsi="Times New Roman"/>
        </w:rPr>
      </w:pPr>
      <w:r w:rsidRPr="00A52D03">
        <w:rPr>
          <w:rFonts w:ascii="Times New Roman" w:hAnsi="Times New Roman"/>
        </w:rPr>
        <w:t>На 1 января 201</w:t>
      </w:r>
      <w:r w:rsidR="008529D8">
        <w:rPr>
          <w:rFonts w:ascii="Times New Roman" w:hAnsi="Times New Roman"/>
        </w:rPr>
        <w:t>7</w:t>
      </w:r>
      <w:r w:rsidRPr="00A52D03">
        <w:rPr>
          <w:rFonts w:ascii="Times New Roman" w:hAnsi="Times New Roman"/>
        </w:rPr>
        <w:t xml:space="preserve"> года в составе членов </w:t>
      </w:r>
      <w:r w:rsidR="00D7166B" w:rsidRPr="00D7166B">
        <w:rPr>
          <w:rFonts w:ascii="Times New Roman" w:hAnsi="Times New Roman"/>
        </w:rPr>
        <w:t>Ассоциации</w:t>
      </w:r>
      <w:r w:rsidRPr="00A52D03">
        <w:rPr>
          <w:rFonts w:ascii="Times New Roman" w:hAnsi="Times New Roman"/>
        </w:rPr>
        <w:t xml:space="preserve"> </w:t>
      </w:r>
      <w:r w:rsidR="00E23D58">
        <w:rPr>
          <w:rFonts w:ascii="Times New Roman" w:hAnsi="Times New Roman"/>
        </w:rPr>
        <w:t>8</w:t>
      </w:r>
      <w:r w:rsidR="00D7166B">
        <w:rPr>
          <w:rFonts w:ascii="Times New Roman" w:hAnsi="Times New Roman"/>
        </w:rPr>
        <w:t>6</w:t>
      </w:r>
      <w:r w:rsidRPr="00A52D03">
        <w:rPr>
          <w:rFonts w:ascii="Times New Roman" w:hAnsi="Times New Roman"/>
        </w:rPr>
        <w:t xml:space="preserve"> предприяти</w:t>
      </w:r>
      <w:r>
        <w:rPr>
          <w:rFonts w:ascii="Times New Roman" w:hAnsi="Times New Roman"/>
        </w:rPr>
        <w:t>й</w:t>
      </w:r>
      <w:r w:rsidRPr="00A52D03">
        <w:rPr>
          <w:rFonts w:ascii="Times New Roman" w:hAnsi="Times New Roman"/>
        </w:rPr>
        <w:t xml:space="preserve"> проектной отрасли</w:t>
      </w:r>
      <w:r>
        <w:rPr>
          <w:rFonts w:ascii="Times New Roman" w:hAnsi="Times New Roman"/>
        </w:rPr>
        <w:t xml:space="preserve">. </w:t>
      </w:r>
      <w:r w:rsidR="00EC7662">
        <w:rPr>
          <w:rFonts w:ascii="Times New Roman" w:hAnsi="Times New Roman"/>
        </w:rPr>
        <w:t>По сравнению с 2015г. в отчетный период</w:t>
      </w:r>
      <w:r w:rsidRPr="00A52D03">
        <w:rPr>
          <w:rFonts w:ascii="Times New Roman" w:hAnsi="Times New Roman"/>
        </w:rPr>
        <w:t xml:space="preserve"> </w:t>
      </w:r>
      <w:r w:rsidR="00EE0691">
        <w:rPr>
          <w:rFonts w:ascii="Times New Roman" w:hAnsi="Times New Roman"/>
        </w:rPr>
        <w:t xml:space="preserve">число принятых в СРО компаний выросло </w:t>
      </w:r>
      <w:r w:rsidR="00EC7662">
        <w:rPr>
          <w:rFonts w:ascii="Times New Roman" w:hAnsi="Times New Roman"/>
        </w:rPr>
        <w:t xml:space="preserve">в 3,5 раза, при этом почти на 30% сократилось количество выбывших организаций из состава Ассоциации. </w:t>
      </w:r>
      <w:r w:rsidR="00404836">
        <w:rPr>
          <w:rFonts w:ascii="Times New Roman" w:hAnsi="Times New Roman"/>
        </w:rPr>
        <w:t>Ниже представлен г</w:t>
      </w:r>
      <w:r w:rsidR="00320923">
        <w:rPr>
          <w:rFonts w:ascii="Times New Roman" w:hAnsi="Times New Roman"/>
        </w:rPr>
        <w:t>рафик изменения отношения вступивших</w:t>
      </w:r>
      <w:r w:rsidR="00EE0691">
        <w:rPr>
          <w:rFonts w:ascii="Times New Roman" w:hAnsi="Times New Roman"/>
        </w:rPr>
        <w:t>/выбывших</w:t>
      </w:r>
      <w:r w:rsidR="00404836" w:rsidRPr="00404836">
        <w:rPr>
          <w:rFonts w:ascii="Times New Roman" w:hAnsi="Times New Roman"/>
        </w:rPr>
        <w:t xml:space="preserve"> </w:t>
      </w:r>
      <w:r w:rsidR="00404836">
        <w:rPr>
          <w:rFonts w:ascii="Times New Roman" w:hAnsi="Times New Roman"/>
        </w:rPr>
        <w:t xml:space="preserve">компаний за весь период деятельности СРО, на котором видно, что наметилась положительная тенденция к увеличению проектных компаний в Приморском крае.    </w:t>
      </w:r>
    </w:p>
    <w:p w:rsidR="00E23D58" w:rsidRDefault="00E23D58" w:rsidP="00346290">
      <w:pPr>
        <w:ind w:firstLine="709"/>
        <w:jc w:val="both"/>
        <w:rPr>
          <w:rFonts w:ascii="Times New Roman" w:hAnsi="Times New Roman"/>
        </w:rPr>
      </w:pPr>
    </w:p>
    <w:p w:rsidR="00E23D58" w:rsidRDefault="00E23D58" w:rsidP="0034629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B75F3FD" wp14:editId="371E0535">
            <wp:extent cx="5486400" cy="363855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23D58" w:rsidRDefault="00E23D58" w:rsidP="00346290">
      <w:pPr>
        <w:ind w:firstLine="709"/>
        <w:jc w:val="both"/>
        <w:rPr>
          <w:rFonts w:ascii="Times New Roman" w:hAnsi="Times New Roman"/>
        </w:rPr>
      </w:pPr>
    </w:p>
    <w:p w:rsidR="00E23D58" w:rsidRPr="00086F50" w:rsidRDefault="00E23D58" w:rsidP="00346290">
      <w:pPr>
        <w:ind w:firstLine="709"/>
        <w:jc w:val="both"/>
        <w:rPr>
          <w:rFonts w:ascii="Times New Roman" w:hAnsi="Times New Roman"/>
        </w:rPr>
      </w:pPr>
    </w:p>
    <w:p w:rsidR="00EE0691" w:rsidRDefault="00EE0691" w:rsidP="00EE06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этом </w:t>
      </w:r>
      <w:r w:rsidR="00094480">
        <w:rPr>
          <w:rFonts w:ascii="Times New Roman" w:hAnsi="Times New Roman"/>
        </w:rPr>
        <w:t xml:space="preserve">размер организаций остался прежним. </w:t>
      </w:r>
      <w:r w:rsidR="009C305A">
        <w:rPr>
          <w:rFonts w:ascii="Times New Roman" w:hAnsi="Times New Roman"/>
        </w:rPr>
        <w:t>Среднее</w:t>
      </w:r>
      <w:r w:rsidR="00086F50">
        <w:rPr>
          <w:rFonts w:ascii="Times New Roman" w:hAnsi="Times New Roman"/>
        </w:rPr>
        <w:t xml:space="preserve"> количество работников</w:t>
      </w:r>
      <w:r w:rsidR="009C305A">
        <w:rPr>
          <w:rFonts w:ascii="Times New Roman" w:hAnsi="Times New Roman"/>
        </w:rPr>
        <w:t xml:space="preserve"> в организациях</w:t>
      </w:r>
      <w:r w:rsidR="00086F50">
        <w:rPr>
          <w:rFonts w:ascii="Times New Roman" w:hAnsi="Times New Roman"/>
        </w:rPr>
        <w:t>,</w:t>
      </w:r>
      <w:r w:rsidR="00A5659F" w:rsidRPr="00C244BC">
        <w:rPr>
          <w:rFonts w:ascii="Times New Roman" w:hAnsi="Times New Roman"/>
        </w:rPr>
        <w:t xml:space="preserve"> занятых подготовкой проектной  документации, </w:t>
      </w:r>
      <w:r w:rsidR="00A5659F" w:rsidRPr="00493227">
        <w:rPr>
          <w:rFonts w:ascii="Times New Roman" w:hAnsi="Times New Roman"/>
        </w:rPr>
        <w:t>около 10 специалистов</w:t>
      </w:r>
      <w:r w:rsidR="009C305A">
        <w:rPr>
          <w:rFonts w:ascii="Times New Roman" w:hAnsi="Times New Roman"/>
        </w:rPr>
        <w:t xml:space="preserve">, что характерно для всего периода существования </w:t>
      </w:r>
      <w:r w:rsidR="00094480">
        <w:rPr>
          <w:rFonts w:ascii="Times New Roman" w:hAnsi="Times New Roman"/>
        </w:rPr>
        <w:t>Ассоциации</w:t>
      </w:r>
      <w:proofErr w:type="gramStart"/>
      <w:r w:rsidR="009C305A">
        <w:rPr>
          <w:rFonts w:ascii="Times New Roman" w:hAnsi="Times New Roman"/>
        </w:rPr>
        <w:t>.</w:t>
      </w:r>
      <w:proofErr w:type="gramEnd"/>
      <w:r w:rsidR="009C305A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родолжается динамика снижения общего количество специалистов, </w:t>
      </w:r>
      <w:r w:rsidRPr="00A5659F">
        <w:rPr>
          <w:rFonts w:ascii="Times New Roman" w:hAnsi="Times New Roman"/>
        </w:rPr>
        <w:t>заявленных на выполнение проектных работ</w:t>
      </w:r>
      <w:r>
        <w:rPr>
          <w:rFonts w:ascii="Times New Roman" w:hAnsi="Times New Roman"/>
        </w:rPr>
        <w:t xml:space="preserve"> всех членов Ассоциации, которая</w:t>
      </w:r>
      <w:r w:rsidRPr="00C244BC">
        <w:rPr>
          <w:rFonts w:ascii="Times New Roman" w:hAnsi="Times New Roman"/>
        </w:rPr>
        <w:t xml:space="preserve"> видн</w:t>
      </w:r>
      <w:r>
        <w:rPr>
          <w:rFonts w:ascii="Times New Roman" w:hAnsi="Times New Roman"/>
        </w:rPr>
        <w:t xml:space="preserve">а на </w:t>
      </w:r>
      <w:r w:rsidRPr="00C244BC">
        <w:rPr>
          <w:rFonts w:ascii="Times New Roman" w:hAnsi="Times New Roman"/>
        </w:rPr>
        <w:t>диаграмм</w:t>
      </w:r>
      <w:r>
        <w:rPr>
          <w:rFonts w:ascii="Times New Roman" w:hAnsi="Times New Roman"/>
        </w:rPr>
        <w:t>е. Что видно на представленных ниже графиках.</w:t>
      </w:r>
    </w:p>
    <w:p w:rsidR="00126C9D" w:rsidRDefault="00126C9D" w:rsidP="00346290">
      <w:pPr>
        <w:ind w:firstLine="709"/>
        <w:jc w:val="both"/>
        <w:rPr>
          <w:rFonts w:ascii="Times New Roman" w:hAnsi="Times New Roman"/>
        </w:rPr>
      </w:pPr>
    </w:p>
    <w:p w:rsidR="00126C9D" w:rsidRPr="00C244BC" w:rsidRDefault="00126C9D" w:rsidP="00346290">
      <w:pPr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15BA82FF" wp14:editId="2F4021B7">
            <wp:extent cx="5448300" cy="353377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12842" w:rsidRDefault="00912842" w:rsidP="00346290">
      <w:pPr>
        <w:ind w:firstLine="709"/>
        <w:jc w:val="both"/>
        <w:rPr>
          <w:rFonts w:ascii="Times New Roman" w:hAnsi="Times New Roman"/>
        </w:rPr>
      </w:pPr>
    </w:p>
    <w:p w:rsidR="00A5659F" w:rsidRDefault="00A5659F" w:rsidP="00346290">
      <w:pPr>
        <w:ind w:firstLine="709"/>
        <w:jc w:val="both"/>
        <w:rPr>
          <w:rFonts w:ascii="Times New Roman" w:hAnsi="Times New Roman"/>
        </w:rPr>
      </w:pPr>
    </w:p>
    <w:p w:rsidR="00A5659F" w:rsidRPr="00C244BC" w:rsidRDefault="00A5659F" w:rsidP="0034629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4A5A4258" wp14:editId="03B01425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1000" w:rsidRDefault="00951000" w:rsidP="00346290">
      <w:pPr>
        <w:ind w:firstLine="709"/>
        <w:jc w:val="both"/>
        <w:rPr>
          <w:rFonts w:ascii="Times New Roman" w:hAnsi="Times New Roman"/>
        </w:rPr>
      </w:pPr>
    </w:p>
    <w:p w:rsidR="008B4A5D" w:rsidRDefault="00516AE3" w:rsidP="0034629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2016 г. увеличилось количество ч</w:t>
      </w:r>
      <w:r w:rsidR="002A7098">
        <w:rPr>
          <w:rFonts w:ascii="Times New Roman" w:hAnsi="Times New Roman"/>
        </w:rPr>
        <w:t>лен</w:t>
      </w:r>
      <w:r>
        <w:rPr>
          <w:rFonts w:ascii="Times New Roman" w:hAnsi="Times New Roman"/>
        </w:rPr>
        <w:t>ов</w:t>
      </w:r>
      <w:r w:rsidR="002A70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</w:t>
      </w:r>
      <w:r w:rsidR="002A7098">
        <w:rPr>
          <w:rFonts w:ascii="Times New Roman" w:hAnsi="Times New Roman"/>
        </w:rPr>
        <w:t xml:space="preserve"> использую</w:t>
      </w:r>
      <w:r>
        <w:rPr>
          <w:rFonts w:ascii="Times New Roman" w:hAnsi="Times New Roman"/>
        </w:rPr>
        <w:t>щих</w:t>
      </w:r>
      <w:r w:rsidR="002A70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своей работе </w:t>
      </w:r>
      <w:r w:rsidR="002A7098">
        <w:rPr>
          <w:rFonts w:ascii="Times New Roman" w:hAnsi="Times New Roman"/>
        </w:rPr>
        <w:t>упрощенную</w:t>
      </w:r>
      <w:r w:rsidRPr="00516A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систему налогообложения и составило 60% по сравнению с 2015г., где данный показатель составил 54%</w:t>
      </w:r>
      <w:r w:rsidR="004F58D8">
        <w:rPr>
          <w:rFonts w:ascii="Times New Roman" w:hAnsi="Times New Roman"/>
        </w:rPr>
        <w:t>.</w:t>
      </w:r>
    </w:p>
    <w:p w:rsidR="009A0887" w:rsidRDefault="009A0887" w:rsidP="00346290">
      <w:pPr>
        <w:ind w:firstLine="709"/>
        <w:jc w:val="both"/>
        <w:rPr>
          <w:rFonts w:ascii="Times New Roman" w:hAnsi="Times New Roman"/>
        </w:rPr>
      </w:pPr>
    </w:p>
    <w:p w:rsidR="009122EA" w:rsidRDefault="006F5941" w:rsidP="0034629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Изменилось </w:t>
      </w:r>
      <w:r w:rsidR="009A0887">
        <w:rPr>
          <w:rFonts w:ascii="Times New Roman" w:hAnsi="Times New Roman"/>
        </w:rPr>
        <w:t>р</w:t>
      </w:r>
      <w:r w:rsidR="00F0704C">
        <w:rPr>
          <w:rFonts w:ascii="Times New Roman" w:hAnsi="Times New Roman"/>
        </w:rPr>
        <w:t>аспределени</w:t>
      </w:r>
      <w:r>
        <w:rPr>
          <w:rFonts w:ascii="Times New Roman" w:hAnsi="Times New Roman"/>
        </w:rPr>
        <w:t>е</w:t>
      </w:r>
      <w:r w:rsidR="00F0704C">
        <w:rPr>
          <w:rFonts w:ascii="Times New Roman" w:hAnsi="Times New Roman"/>
        </w:rPr>
        <w:t xml:space="preserve"> организаций по с</w:t>
      </w:r>
      <w:r w:rsidR="00F0704C" w:rsidRPr="00F0704C">
        <w:rPr>
          <w:rFonts w:ascii="Times New Roman" w:hAnsi="Times New Roman"/>
        </w:rPr>
        <w:t>татус</w:t>
      </w:r>
      <w:r w:rsidR="00F0704C">
        <w:rPr>
          <w:rFonts w:ascii="Times New Roman" w:hAnsi="Times New Roman"/>
        </w:rPr>
        <w:t>у</w:t>
      </w:r>
      <w:r w:rsidR="00F0704C" w:rsidRPr="00F0704C">
        <w:rPr>
          <w:rFonts w:ascii="Times New Roman" w:hAnsi="Times New Roman"/>
        </w:rPr>
        <w:t xml:space="preserve"> заказчиков (государственные,  муниципальные, частные)</w:t>
      </w:r>
      <w:r w:rsidR="001C26BB">
        <w:rPr>
          <w:rFonts w:ascii="Times New Roman" w:hAnsi="Times New Roman"/>
        </w:rPr>
        <w:t>.</w:t>
      </w:r>
      <w:r w:rsidR="001C26BB" w:rsidRPr="001C26BB">
        <w:rPr>
          <w:rFonts w:ascii="Times New Roman" w:hAnsi="Times New Roman"/>
        </w:rPr>
        <w:t xml:space="preserve"> </w:t>
      </w:r>
      <w:r w:rsidR="00E5219D">
        <w:rPr>
          <w:rFonts w:ascii="Times New Roman" w:hAnsi="Times New Roman"/>
        </w:rPr>
        <w:t>О</w:t>
      </w:r>
      <w:r w:rsidR="009122EA">
        <w:rPr>
          <w:rFonts w:ascii="Times New Roman" w:hAnsi="Times New Roman"/>
        </w:rPr>
        <w:t xml:space="preserve">сновное количество  </w:t>
      </w:r>
      <w:r w:rsidR="00490505">
        <w:rPr>
          <w:rFonts w:ascii="Times New Roman" w:hAnsi="Times New Roman"/>
        </w:rPr>
        <w:t xml:space="preserve">компаний </w:t>
      </w:r>
      <w:proofErr w:type="gramStart"/>
      <w:r>
        <w:rPr>
          <w:rFonts w:ascii="Times New Roman" w:hAnsi="Times New Roman"/>
        </w:rPr>
        <w:t>по прежнему</w:t>
      </w:r>
      <w:proofErr w:type="gramEnd"/>
      <w:r>
        <w:rPr>
          <w:rFonts w:ascii="Times New Roman" w:hAnsi="Times New Roman"/>
        </w:rPr>
        <w:t xml:space="preserve"> </w:t>
      </w:r>
      <w:r w:rsidR="009122EA">
        <w:rPr>
          <w:rFonts w:ascii="Times New Roman" w:hAnsi="Times New Roman"/>
        </w:rPr>
        <w:t>работают с</w:t>
      </w:r>
      <w:r>
        <w:rPr>
          <w:rFonts w:ascii="Times New Roman" w:hAnsi="Times New Roman"/>
        </w:rPr>
        <w:t xml:space="preserve"> заказчиками различных статусов, но при этом резко сократилось число компаний предпочитающих  только государственных или только муниципальных заказчиков. </w:t>
      </w:r>
    </w:p>
    <w:p w:rsidR="00F0704C" w:rsidRDefault="006F5941" w:rsidP="0034629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53CC211B" wp14:editId="591EFE5F">
            <wp:extent cx="5547360" cy="3208020"/>
            <wp:effectExtent l="0" t="0" r="1524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0704C" w:rsidRDefault="00F0704C" w:rsidP="00346290">
      <w:pPr>
        <w:ind w:firstLine="709"/>
        <w:jc w:val="both"/>
        <w:rPr>
          <w:rFonts w:ascii="Times New Roman" w:hAnsi="Times New Roman"/>
        </w:rPr>
      </w:pPr>
    </w:p>
    <w:p w:rsidR="00826A96" w:rsidRDefault="00826A96" w:rsidP="00346290">
      <w:pPr>
        <w:ind w:firstLine="709"/>
        <w:jc w:val="both"/>
        <w:rPr>
          <w:rFonts w:ascii="Times New Roman" w:hAnsi="Times New Roman"/>
        </w:rPr>
      </w:pPr>
    </w:p>
    <w:p w:rsidR="00F4264B" w:rsidRDefault="001C26BB" w:rsidP="00346290">
      <w:pPr>
        <w:ind w:firstLine="709"/>
        <w:jc w:val="both"/>
        <w:rPr>
          <w:rFonts w:ascii="Times New Roman" w:hAnsi="Times New Roman"/>
        </w:rPr>
      </w:pPr>
      <w:r w:rsidRPr="00107594">
        <w:rPr>
          <w:rFonts w:ascii="Times New Roman" w:hAnsi="Times New Roman"/>
        </w:rPr>
        <w:t xml:space="preserve">Большая часть компаний, входящих в состав </w:t>
      </w:r>
      <w:r w:rsidR="006F5941">
        <w:rPr>
          <w:rFonts w:ascii="Times New Roman" w:hAnsi="Times New Roman"/>
        </w:rPr>
        <w:t>Ассоциации</w:t>
      </w:r>
      <w:r w:rsidRPr="00107594">
        <w:rPr>
          <w:rFonts w:ascii="Times New Roman" w:hAnsi="Times New Roman"/>
        </w:rPr>
        <w:t xml:space="preserve">, специализируется на </w:t>
      </w:r>
      <w:r w:rsidR="003C369F" w:rsidRPr="00107594">
        <w:rPr>
          <w:rFonts w:ascii="Times New Roman" w:hAnsi="Times New Roman"/>
        </w:rPr>
        <w:t xml:space="preserve">совокупности различных </w:t>
      </w:r>
      <w:r w:rsidRPr="00107594">
        <w:rPr>
          <w:rFonts w:ascii="Times New Roman" w:hAnsi="Times New Roman"/>
        </w:rPr>
        <w:t xml:space="preserve">направлений проектной деятельности. Но есть и </w:t>
      </w:r>
      <w:r w:rsidR="00C03ED8" w:rsidRPr="00107594">
        <w:rPr>
          <w:rFonts w:ascii="Times New Roman" w:hAnsi="Times New Roman"/>
        </w:rPr>
        <w:t xml:space="preserve">узкоспециализированные организации, в основном </w:t>
      </w:r>
      <w:r w:rsidR="006F5941" w:rsidRPr="00107594">
        <w:rPr>
          <w:rFonts w:ascii="Times New Roman" w:hAnsi="Times New Roman"/>
        </w:rPr>
        <w:t>занимающиеся инженерными</w:t>
      </w:r>
      <w:r w:rsidR="00C03ED8" w:rsidRPr="00107594">
        <w:rPr>
          <w:rFonts w:ascii="Times New Roman" w:hAnsi="Times New Roman"/>
        </w:rPr>
        <w:t xml:space="preserve"> сетями и системами, слаботочными </w:t>
      </w:r>
      <w:r w:rsidR="006F5941" w:rsidRPr="00107594">
        <w:rPr>
          <w:rFonts w:ascii="Times New Roman" w:hAnsi="Times New Roman"/>
        </w:rPr>
        <w:t>системами, диспетчеризацией</w:t>
      </w:r>
      <w:r w:rsidR="00C03ED8" w:rsidRPr="00107594">
        <w:rPr>
          <w:rFonts w:ascii="Times New Roman" w:hAnsi="Times New Roman"/>
        </w:rPr>
        <w:t xml:space="preserve">, автоматизацией и </w:t>
      </w:r>
      <w:r w:rsidR="006F5941" w:rsidRPr="00107594">
        <w:rPr>
          <w:rFonts w:ascii="Times New Roman" w:hAnsi="Times New Roman"/>
        </w:rPr>
        <w:t>системами пожарной</w:t>
      </w:r>
      <w:r w:rsidR="00C03ED8" w:rsidRPr="00107594">
        <w:rPr>
          <w:rFonts w:ascii="Times New Roman" w:hAnsi="Times New Roman"/>
        </w:rPr>
        <w:t xml:space="preserve"> безопасности</w:t>
      </w:r>
      <w:r w:rsidR="00107594" w:rsidRPr="00107594">
        <w:rPr>
          <w:rFonts w:ascii="Times New Roman" w:hAnsi="Times New Roman"/>
        </w:rPr>
        <w:t xml:space="preserve">, количество которых </w:t>
      </w:r>
      <w:r w:rsidR="006F5941">
        <w:rPr>
          <w:rFonts w:ascii="Times New Roman" w:hAnsi="Times New Roman"/>
        </w:rPr>
        <w:t xml:space="preserve">по-прежнему </w:t>
      </w:r>
      <w:r w:rsidR="00F4264B">
        <w:rPr>
          <w:rFonts w:ascii="Times New Roman" w:hAnsi="Times New Roman"/>
        </w:rPr>
        <w:t xml:space="preserve">составляет </w:t>
      </w:r>
      <w:r w:rsidR="006F5941">
        <w:rPr>
          <w:rFonts w:ascii="Times New Roman" w:hAnsi="Times New Roman"/>
        </w:rPr>
        <w:t xml:space="preserve">около </w:t>
      </w:r>
      <w:r w:rsidR="00F4264B">
        <w:rPr>
          <w:rFonts w:ascii="Times New Roman" w:hAnsi="Times New Roman"/>
        </w:rPr>
        <w:t>1</w:t>
      </w:r>
      <w:r w:rsidR="006F5941">
        <w:rPr>
          <w:rFonts w:ascii="Times New Roman" w:hAnsi="Times New Roman"/>
        </w:rPr>
        <w:t>5</w:t>
      </w:r>
      <w:r w:rsidR="00F4264B">
        <w:rPr>
          <w:rFonts w:ascii="Times New Roman" w:hAnsi="Times New Roman"/>
        </w:rPr>
        <w:t xml:space="preserve">% от общего числа членов </w:t>
      </w:r>
      <w:r w:rsidR="006F5941">
        <w:rPr>
          <w:rFonts w:ascii="Times New Roman" w:hAnsi="Times New Roman"/>
        </w:rPr>
        <w:t>СРО</w:t>
      </w:r>
      <w:r w:rsidR="00107594" w:rsidRPr="00107594">
        <w:rPr>
          <w:rFonts w:ascii="Times New Roman" w:hAnsi="Times New Roman"/>
        </w:rPr>
        <w:t>.</w:t>
      </w:r>
      <w:r w:rsidR="00C03ED8">
        <w:rPr>
          <w:rFonts w:ascii="Times New Roman" w:hAnsi="Times New Roman"/>
        </w:rPr>
        <w:t xml:space="preserve"> </w:t>
      </w:r>
    </w:p>
    <w:p w:rsidR="00346290" w:rsidRDefault="00346290" w:rsidP="00346290">
      <w:pPr>
        <w:ind w:firstLine="709"/>
        <w:jc w:val="both"/>
        <w:rPr>
          <w:rFonts w:ascii="Times New Roman" w:hAnsi="Times New Roman"/>
        </w:rPr>
      </w:pPr>
    </w:p>
    <w:p w:rsidR="00605DB0" w:rsidRDefault="00F4264B" w:rsidP="0034629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6F5374">
        <w:rPr>
          <w:rFonts w:ascii="Times New Roman" w:hAnsi="Times New Roman"/>
        </w:rPr>
        <w:t>1</w:t>
      </w:r>
      <w:r w:rsidR="00605DB0">
        <w:rPr>
          <w:rFonts w:ascii="Times New Roman" w:hAnsi="Times New Roman"/>
        </w:rPr>
        <w:t xml:space="preserve"> организаций имеют Свидетельство о допуске к видам</w:t>
      </w:r>
      <w:r w:rsidR="00605DB0" w:rsidRPr="00605DB0">
        <w:rPr>
          <w:rFonts w:ascii="Times New Roman" w:hAnsi="Times New Roman"/>
        </w:rPr>
        <w:t xml:space="preserve"> работ, которые оказывают влияние на безопасность</w:t>
      </w:r>
      <w:r w:rsidR="00605DB0">
        <w:rPr>
          <w:rFonts w:ascii="Times New Roman" w:hAnsi="Times New Roman"/>
        </w:rPr>
        <w:t xml:space="preserve"> </w:t>
      </w:r>
      <w:r w:rsidR="00605DB0" w:rsidRPr="00605DB0">
        <w:rPr>
          <w:rFonts w:ascii="Times New Roman" w:hAnsi="Times New Roman"/>
        </w:rPr>
        <w:t>особо опасных и технически сложных объектов капитального строительства (кроме объектов использования атомной энергии)</w:t>
      </w:r>
      <w:r w:rsidR="00605DB0">
        <w:rPr>
          <w:rFonts w:ascii="Times New Roman" w:hAnsi="Times New Roman"/>
        </w:rPr>
        <w:t xml:space="preserve">. </w:t>
      </w:r>
    </w:p>
    <w:p w:rsidR="00346290" w:rsidRDefault="00346290" w:rsidP="00346290">
      <w:pPr>
        <w:ind w:firstLine="709"/>
        <w:jc w:val="both"/>
        <w:rPr>
          <w:rFonts w:ascii="Times New Roman" w:hAnsi="Times New Roman"/>
        </w:rPr>
      </w:pPr>
    </w:p>
    <w:p w:rsidR="00605DB0" w:rsidRDefault="00605DB0" w:rsidP="00346290">
      <w:pPr>
        <w:ind w:firstLine="709"/>
        <w:jc w:val="both"/>
        <w:rPr>
          <w:rFonts w:ascii="Times New Roman" w:hAnsi="Times New Roman"/>
        </w:rPr>
      </w:pPr>
      <w:r w:rsidRPr="00C244BC">
        <w:rPr>
          <w:rFonts w:ascii="Times New Roman" w:hAnsi="Times New Roman"/>
        </w:rPr>
        <w:t xml:space="preserve">Основная часть </w:t>
      </w:r>
      <w:r w:rsidR="00EE0691">
        <w:rPr>
          <w:rFonts w:ascii="Times New Roman" w:hAnsi="Times New Roman"/>
        </w:rPr>
        <w:t>предприятий</w:t>
      </w:r>
      <w:r w:rsidRPr="00C244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по-прежнему </w:t>
      </w:r>
      <w:r w:rsidRPr="00C244BC">
        <w:rPr>
          <w:rFonts w:ascii="Times New Roman" w:hAnsi="Times New Roman"/>
        </w:rPr>
        <w:t xml:space="preserve">осуществляет </w:t>
      </w:r>
      <w:r>
        <w:rPr>
          <w:rFonts w:ascii="Times New Roman" w:hAnsi="Times New Roman"/>
        </w:rPr>
        <w:t>р</w:t>
      </w:r>
      <w:r w:rsidRPr="00DE011D">
        <w:rPr>
          <w:rFonts w:ascii="Times New Roman" w:hAnsi="Times New Roman"/>
        </w:rPr>
        <w:t>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 w:rsidRPr="00C244BC">
        <w:rPr>
          <w:rFonts w:ascii="Times New Roman" w:hAnsi="Times New Roman"/>
        </w:rPr>
        <w:t>, стоимость, котор</w:t>
      </w:r>
      <w:r>
        <w:rPr>
          <w:rFonts w:ascii="Times New Roman" w:hAnsi="Times New Roman"/>
        </w:rPr>
        <w:t>ых</w:t>
      </w:r>
      <w:r w:rsidRPr="00C244BC">
        <w:rPr>
          <w:rFonts w:ascii="Times New Roman" w:hAnsi="Times New Roman"/>
        </w:rPr>
        <w:t xml:space="preserve"> по одному договору не превышает пят</w:t>
      </w:r>
      <w:r w:rsidR="00EE0691">
        <w:rPr>
          <w:rFonts w:ascii="Times New Roman" w:hAnsi="Times New Roman"/>
        </w:rPr>
        <w:t>и</w:t>
      </w:r>
      <w:r w:rsidRPr="00C244BC">
        <w:rPr>
          <w:rFonts w:ascii="Times New Roman" w:hAnsi="Times New Roman"/>
        </w:rPr>
        <w:t xml:space="preserve"> миллионов рублей</w:t>
      </w:r>
      <w:r w:rsidR="006F5374">
        <w:rPr>
          <w:rFonts w:ascii="Times New Roman" w:hAnsi="Times New Roman"/>
        </w:rPr>
        <w:t>.</w:t>
      </w:r>
      <w:r w:rsidRPr="00C244BC">
        <w:rPr>
          <w:rFonts w:ascii="Times New Roman" w:hAnsi="Times New Roman"/>
        </w:rPr>
        <w:t xml:space="preserve"> </w:t>
      </w:r>
    </w:p>
    <w:p w:rsidR="00346290" w:rsidRDefault="00346290" w:rsidP="00346290">
      <w:pPr>
        <w:ind w:firstLine="709"/>
        <w:jc w:val="both"/>
        <w:rPr>
          <w:rFonts w:ascii="Times New Roman" w:hAnsi="Times New Roman"/>
        </w:rPr>
      </w:pPr>
    </w:p>
    <w:p w:rsidR="00605DB0" w:rsidRPr="00C244BC" w:rsidRDefault="000A1A16" w:rsidP="0034629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123052D9" wp14:editId="62E71A22">
            <wp:extent cx="5381625" cy="23717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05DB0" w:rsidRDefault="00605DB0" w:rsidP="00346290">
      <w:pPr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sectPr w:rsidR="00605DB0" w:rsidSect="00826A96">
      <w:footerReference w:type="default" r:id="rId13"/>
      <w:pgSz w:w="11906" w:h="16838"/>
      <w:pgMar w:top="81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F2" w:rsidRDefault="00807CF2" w:rsidP="00826A96">
      <w:r>
        <w:separator/>
      </w:r>
    </w:p>
  </w:endnote>
  <w:endnote w:type="continuationSeparator" w:id="0">
    <w:p w:rsidR="00807CF2" w:rsidRDefault="00807CF2" w:rsidP="0082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61234"/>
      <w:docPartObj>
        <w:docPartGallery w:val="Page Numbers (Bottom of Page)"/>
        <w:docPartUnique/>
      </w:docPartObj>
    </w:sdtPr>
    <w:sdtEndPr/>
    <w:sdtContent>
      <w:p w:rsidR="00B84DAB" w:rsidRDefault="00B84DA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BF4">
          <w:rPr>
            <w:noProof/>
          </w:rPr>
          <w:t>2</w:t>
        </w:r>
        <w:r>
          <w:fldChar w:fldCharType="end"/>
        </w:r>
      </w:p>
    </w:sdtContent>
  </w:sdt>
  <w:p w:rsidR="00B84DAB" w:rsidRDefault="00B84D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F2" w:rsidRDefault="00807CF2" w:rsidP="00826A96">
      <w:r>
        <w:separator/>
      </w:r>
    </w:p>
  </w:footnote>
  <w:footnote w:type="continuationSeparator" w:id="0">
    <w:p w:rsidR="00807CF2" w:rsidRDefault="00807CF2" w:rsidP="00826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9E"/>
    <w:rsid w:val="00057C9E"/>
    <w:rsid w:val="00086F50"/>
    <w:rsid w:val="00094480"/>
    <w:rsid w:val="000A1A16"/>
    <w:rsid w:val="000D10EA"/>
    <w:rsid w:val="00107594"/>
    <w:rsid w:val="00126C9D"/>
    <w:rsid w:val="00161DEB"/>
    <w:rsid w:val="00185983"/>
    <w:rsid w:val="00196712"/>
    <w:rsid w:val="001C26BB"/>
    <w:rsid w:val="001D2FAC"/>
    <w:rsid w:val="002759E1"/>
    <w:rsid w:val="00282289"/>
    <w:rsid w:val="002A1A30"/>
    <w:rsid w:val="002A7098"/>
    <w:rsid w:val="00320923"/>
    <w:rsid w:val="00346290"/>
    <w:rsid w:val="003C369F"/>
    <w:rsid w:val="00404836"/>
    <w:rsid w:val="00490505"/>
    <w:rsid w:val="00493227"/>
    <w:rsid w:val="004D07C0"/>
    <w:rsid w:val="004F58D8"/>
    <w:rsid w:val="00516AE3"/>
    <w:rsid w:val="00523563"/>
    <w:rsid w:val="00563D8D"/>
    <w:rsid w:val="00602E58"/>
    <w:rsid w:val="00605DB0"/>
    <w:rsid w:val="0069291B"/>
    <w:rsid w:val="00695E2A"/>
    <w:rsid w:val="006F5374"/>
    <w:rsid w:val="006F5941"/>
    <w:rsid w:val="00746AF4"/>
    <w:rsid w:val="00763CF0"/>
    <w:rsid w:val="00780733"/>
    <w:rsid w:val="00790F68"/>
    <w:rsid w:val="00807CF2"/>
    <w:rsid w:val="008147B7"/>
    <w:rsid w:val="00826A96"/>
    <w:rsid w:val="008529D8"/>
    <w:rsid w:val="008B4A5D"/>
    <w:rsid w:val="009122EA"/>
    <w:rsid w:val="00912842"/>
    <w:rsid w:val="00951000"/>
    <w:rsid w:val="0098551C"/>
    <w:rsid w:val="009A0887"/>
    <w:rsid w:val="009C305A"/>
    <w:rsid w:val="00A10FCF"/>
    <w:rsid w:val="00A5146D"/>
    <w:rsid w:val="00A52D03"/>
    <w:rsid w:val="00A5659F"/>
    <w:rsid w:val="00B170BD"/>
    <w:rsid w:val="00B84DAB"/>
    <w:rsid w:val="00BA3AD6"/>
    <w:rsid w:val="00BC0F40"/>
    <w:rsid w:val="00BD4374"/>
    <w:rsid w:val="00BF3BF4"/>
    <w:rsid w:val="00BF7B7F"/>
    <w:rsid w:val="00C03ED8"/>
    <w:rsid w:val="00C244BC"/>
    <w:rsid w:val="00C64477"/>
    <w:rsid w:val="00C8055E"/>
    <w:rsid w:val="00CA4812"/>
    <w:rsid w:val="00D7166B"/>
    <w:rsid w:val="00DA39EA"/>
    <w:rsid w:val="00DE011D"/>
    <w:rsid w:val="00DF3CA3"/>
    <w:rsid w:val="00E23D58"/>
    <w:rsid w:val="00E5219D"/>
    <w:rsid w:val="00EC7662"/>
    <w:rsid w:val="00EE0691"/>
    <w:rsid w:val="00F0704C"/>
    <w:rsid w:val="00F4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9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9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983"/>
    <w:rPr>
      <w:rFonts w:ascii="Tahoma" w:eastAsia="Cambri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61DEB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6A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A96"/>
    <w:rPr>
      <w:rFonts w:ascii="Cambria" w:eastAsia="Cambria" w:hAnsi="Cambria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26A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6A96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9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9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983"/>
    <w:rPr>
      <w:rFonts w:ascii="Tahoma" w:eastAsia="Cambri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61DEB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6A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A96"/>
    <w:rPr>
      <w:rFonts w:ascii="Cambria" w:eastAsia="Cambria" w:hAnsi="Cambria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26A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6A96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вступивших организаций</c:v>
                </c:pt>
              </c:strCache>
            </c:strRef>
          </c:tx>
          <c:spPr>
            <a:pattFill prst="smGrid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26</c:v>
                </c:pt>
                <c:pt idx="1">
                  <c:v>14</c:v>
                </c:pt>
                <c:pt idx="2">
                  <c:v>10</c:v>
                </c:pt>
                <c:pt idx="3">
                  <c:v>8</c:v>
                </c:pt>
                <c:pt idx="4">
                  <c:v>11</c:v>
                </c:pt>
                <c:pt idx="5">
                  <c:v>2</c:v>
                </c:pt>
                <c:pt idx="6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выбывших организаций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  <c:pt idx="4">
                  <c:v>9</c:v>
                </c:pt>
                <c:pt idx="5">
                  <c:v>16</c:v>
                </c:pt>
                <c:pt idx="6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38048"/>
        <c:axId val="47910912"/>
      </c:barChart>
      <c:catAx>
        <c:axId val="44738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7910912"/>
        <c:crosses val="autoZero"/>
        <c:auto val="1"/>
        <c:lblAlgn val="ctr"/>
        <c:lblOffset val="100"/>
        <c:noMultiLvlLbl val="0"/>
      </c:catAx>
      <c:valAx>
        <c:axId val="47910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7380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организаций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10 специалистов</c:v>
                </c:pt>
                <c:pt idx="1">
                  <c:v>от 10 до 20 специалистов</c:v>
                </c:pt>
                <c:pt idx="2">
                  <c:v>от 20 до 40 специалистов</c:v>
                </c:pt>
                <c:pt idx="3">
                  <c:v>Свыше 40 специалистов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</c:v>
                </c:pt>
                <c:pt idx="1">
                  <c:v>20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236800"/>
        <c:axId val="58945920"/>
      </c:barChart>
      <c:catAx>
        <c:axId val="48236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8945920"/>
        <c:crosses val="autoZero"/>
        <c:auto val="1"/>
        <c:lblAlgn val="ctr"/>
        <c:lblOffset val="100"/>
        <c:noMultiLvlLbl val="0"/>
      </c:catAx>
      <c:valAx>
        <c:axId val="58945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2368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кол-во специалистов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 </c:v>
                </c:pt>
                <c:pt idx="4">
                  <c:v>2014г.</c:v>
                </c:pt>
                <c:pt idx="5">
                  <c:v>2015г.</c:v>
                </c:pt>
                <c:pt idx="6">
                  <c:v>2016г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730</c:v>
                </c:pt>
                <c:pt idx="1">
                  <c:v>770</c:v>
                </c:pt>
                <c:pt idx="2">
                  <c:v>880</c:v>
                </c:pt>
                <c:pt idx="3">
                  <c:v>920</c:v>
                </c:pt>
                <c:pt idx="4">
                  <c:v>842</c:v>
                </c:pt>
                <c:pt idx="5">
                  <c:v>780</c:v>
                </c:pt>
                <c:pt idx="6">
                  <c:v>709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457920"/>
        <c:axId val="63492480"/>
      </c:lineChart>
      <c:catAx>
        <c:axId val="63457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3492480"/>
        <c:crosses val="autoZero"/>
        <c:auto val="1"/>
        <c:lblAlgn val="ctr"/>
        <c:lblOffset val="100"/>
        <c:noMultiLvlLbl val="0"/>
      </c:catAx>
      <c:valAx>
        <c:axId val="63492480"/>
        <c:scaling>
          <c:orientation val="minMax"/>
          <c:min val="7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4579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93132108486439E-2"/>
          <c:y val="4.4057617797775277E-2"/>
          <c:w val="0.88478273549139685"/>
          <c:h val="0.557106299212598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организаций 2015г. 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Только госсударственные или только муниципальные заказчики</c:v>
                </c:pt>
                <c:pt idx="1">
                  <c:v>Только частные заказчики</c:v>
                </c:pt>
                <c:pt idx="2">
                  <c:v>Государственные,  муниципальные и частные заказчики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25</c:v>
                </c:pt>
                <c:pt idx="2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организаций 2016г.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Только госсударственные или только муниципальные заказчики</c:v>
                </c:pt>
                <c:pt idx="1">
                  <c:v>Только частные заказчики</c:v>
                </c:pt>
                <c:pt idx="2">
                  <c:v>Государственные,  муниципальные и частные заказчики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20</c:v>
                </c:pt>
                <c:pt idx="2">
                  <c:v>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6708608"/>
        <c:axId val="96930816"/>
        <c:axId val="0"/>
      </c:bar3DChart>
      <c:catAx>
        <c:axId val="66708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6930816"/>
        <c:crosses val="autoZero"/>
        <c:auto val="1"/>
        <c:lblAlgn val="ctr"/>
        <c:lblOffset val="100"/>
        <c:noMultiLvlLbl val="0"/>
      </c:catAx>
      <c:valAx>
        <c:axId val="96930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708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125109361329829"/>
          <c:y val="0.81729565054368203"/>
          <c:w val="0.28690368030919211"/>
          <c:h val="0.1827042848860044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организаций</c:v>
                </c:pt>
              </c:strCache>
            </c:strRef>
          </c:tx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Лист1!$A$2:$A$5</c:f>
              <c:strCache>
                <c:ptCount val="4"/>
                <c:pt idx="0">
                  <c:v>до 5 млн. руб.</c:v>
                </c:pt>
                <c:pt idx="1">
                  <c:v>до 25 млн. руб.</c:v>
                </c:pt>
                <c:pt idx="2">
                  <c:v>до 50 млн. руб.</c:v>
                </c:pt>
                <c:pt idx="3">
                  <c:v>до 300 млн. руб.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17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90144"/>
        <c:axId val="44791680"/>
      </c:barChart>
      <c:catAx>
        <c:axId val="44790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791680"/>
        <c:crosses val="autoZero"/>
        <c:auto val="1"/>
        <c:lblAlgn val="ctr"/>
        <c:lblOffset val="100"/>
        <c:noMultiLvlLbl val="0"/>
      </c:catAx>
      <c:valAx>
        <c:axId val="44791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7901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492D3-E348-478F-B56F-6EA6D652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MarchenkoEA</dc:creator>
  <cp:lastModifiedBy>MarchenkoEA</cp:lastModifiedBy>
  <cp:revision>8</cp:revision>
  <cp:lastPrinted>2016-01-13T05:44:00Z</cp:lastPrinted>
  <dcterms:created xsi:type="dcterms:W3CDTF">2017-01-19T06:38:00Z</dcterms:created>
  <dcterms:modified xsi:type="dcterms:W3CDTF">2018-04-11T04:58:00Z</dcterms:modified>
</cp:coreProperties>
</file>