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9E" w:rsidRPr="00C244BC" w:rsidRDefault="00057C9E" w:rsidP="00826A96">
      <w:pPr>
        <w:jc w:val="center"/>
        <w:rPr>
          <w:rFonts w:ascii="Times New Roman" w:eastAsia="Andale Sans UI" w:hAnsi="Times New Roman"/>
          <w:b/>
          <w:kern w:val="1"/>
          <w:lang w:eastAsia="fa-IR" w:bidi="fa-IR"/>
        </w:rPr>
      </w:pPr>
      <w:r w:rsidRPr="00C244BC">
        <w:rPr>
          <w:rFonts w:ascii="Times New Roman" w:eastAsia="Andale Sans UI" w:hAnsi="Times New Roman"/>
          <w:b/>
          <w:kern w:val="1"/>
          <w:lang w:eastAsia="fa-IR" w:bidi="fa-IR"/>
        </w:rPr>
        <w:t>АНАЛИЗ</w:t>
      </w:r>
    </w:p>
    <w:p w:rsidR="00057C9E" w:rsidRPr="00057C9E" w:rsidRDefault="00057C9E" w:rsidP="00826A96">
      <w:pPr>
        <w:widowControl w:val="0"/>
        <w:suppressAutoHyphens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деятельности членов СРО НП </w:t>
      </w:r>
      <w:r w:rsidRPr="00C244BC">
        <w:rPr>
          <w:rFonts w:ascii="Times New Roman" w:eastAsia="Andale Sans UI" w:hAnsi="Times New Roman"/>
          <w:b/>
          <w:kern w:val="1"/>
          <w:lang w:eastAsia="fa-IR" w:bidi="fa-IR"/>
        </w:rPr>
        <w:t>ППК</w:t>
      </w:r>
    </w:p>
    <w:p w:rsidR="00057C9E" w:rsidRPr="00057C9E" w:rsidRDefault="00057C9E" w:rsidP="00826A96">
      <w:pPr>
        <w:widowControl w:val="0"/>
        <w:suppressAutoHyphens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>на основе информации, представленной членами в форме отчетов</w:t>
      </w:r>
    </w:p>
    <w:p w:rsidR="00057C9E" w:rsidRPr="00057C9E" w:rsidRDefault="00057C9E" w:rsidP="00826A96">
      <w:pPr>
        <w:widowControl w:val="0"/>
        <w:suppressAutoHyphens/>
        <w:jc w:val="center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>за 201</w:t>
      </w:r>
      <w:r w:rsidR="00086F50">
        <w:rPr>
          <w:rFonts w:ascii="Times New Roman" w:eastAsia="Andale Sans UI" w:hAnsi="Times New Roman"/>
          <w:b/>
          <w:kern w:val="1"/>
          <w:lang w:eastAsia="fa-IR" w:bidi="fa-IR"/>
        </w:rPr>
        <w:t>4</w:t>
      </w: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 год</w:t>
      </w:r>
    </w:p>
    <w:p w:rsidR="00057C9E" w:rsidRPr="00057C9E" w:rsidRDefault="00057C9E" w:rsidP="00826A96">
      <w:pPr>
        <w:widowControl w:val="0"/>
        <w:suppressAutoHyphens/>
        <w:jc w:val="center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</w:p>
    <w:p w:rsidR="00057C9E" w:rsidRPr="00057C9E" w:rsidRDefault="0098551C" w:rsidP="00392666">
      <w:pPr>
        <w:widowControl w:val="0"/>
        <w:suppressAutoHyphens/>
        <w:ind w:left="-426" w:firstLine="710"/>
        <w:jc w:val="both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  <w:r>
        <w:rPr>
          <w:rFonts w:ascii="Times New Roman" w:eastAsia="Andale Sans UI" w:hAnsi="Times New Roman"/>
          <w:kern w:val="1"/>
          <w:lang w:eastAsia="fa-IR" w:bidi="fa-IR"/>
        </w:rPr>
        <w:t xml:space="preserve"> 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Настоящий анализ деятельности членов СРО НП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ППК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подготовлен в соответствии с пунктом 4 части 1 статьи 6 Федерального закона от 01.12.2007 № 315-ФЗ «О саморегулируемых организациях», пунктом 3.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4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Устава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Партнерства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и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Правилами контроля в области саморегулирования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на основании информации, представляемой членами в форме отчетов</w:t>
      </w:r>
      <w:r w:rsidR="002A1A30">
        <w:rPr>
          <w:rFonts w:ascii="Times New Roman" w:eastAsia="Andale Sans UI" w:hAnsi="Times New Roman"/>
          <w:kern w:val="1"/>
          <w:lang w:eastAsia="fa-IR" w:bidi="fa-IR"/>
        </w:rPr>
        <w:t xml:space="preserve"> о деятельности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.</w:t>
      </w:r>
    </w:p>
    <w:p w:rsidR="00057C9E" w:rsidRPr="00C244BC" w:rsidRDefault="00057C9E" w:rsidP="00826A96">
      <w:pPr>
        <w:ind w:firstLine="709"/>
        <w:jc w:val="both"/>
        <w:rPr>
          <w:rFonts w:ascii="Times New Roman" w:hAnsi="Times New Roman"/>
        </w:rPr>
      </w:pPr>
    </w:p>
    <w:p w:rsidR="00A52D03" w:rsidRDefault="00A52D03" w:rsidP="00826A96">
      <w:pPr>
        <w:ind w:left="-426" w:firstLine="709"/>
        <w:jc w:val="both"/>
        <w:rPr>
          <w:rFonts w:ascii="Times New Roman" w:hAnsi="Times New Roman"/>
        </w:rPr>
      </w:pPr>
      <w:r w:rsidRPr="00A52D03">
        <w:rPr>
          <w:rFonts w:ascii="Times New Roman" w:hAnsi="Times New Roman"/>
        </w:rPr>
        <w:t>На 1 января 201</w:t>
      </w:r>
      <w:r w:rsidR="00086F50">
        <w:rPr>
          <w:rFonts w:ascii="Times New Roman" w:hAnsi="Times New Roman"/>
        </w:rPr>
        <w:t>5</w:t>
      </w:r>
      <w:r w:rsidRPr="00A52D03">
        <w:rPr>
          <w:rFonts w:ascii="Times New Roman" w:hAnsi="Times New Roman"/>
        </w:rPr>
        <w:t xml:space="preserve"> года в составе членов Партнерства </w:t>
      </w:r>
      <w:r>
        <w:rPr>
          <w:rFonts w:ascii="Times New Roman" w:hAnsi="Times New Roman"/>
        </w:rPr>
        <w:t>10</w:t>
      </w:r>
      <w:r w:rsidR="00086F50">
        <w:rPr>
          <w:rFonts w:ascii="Times New Roman" w:hAnsi="Times New Roman"/>
        </w:rPr>
        <w:t>2</w:t>
      </w:r>
      <w:r w:rsidRPr="00A52D03">
        <w:rPr>
          <w:rFonts w:ascii="Times New Roman" w:hAnsi="Times New Roman"/>
        </w:rPr>
        <w:t xml:space="preserve"> предприяти</w:t>
      </w:r>
      <w:r>
        <w:rPr>
          <w:rFonts w:ascii="Times New Roman" w:hAnsi="Times New Roman"/>
        </w:rPr>
        <w:t>й</w:t>
      </w:r>
      <w:r w:rsidRPr="00A52D03">
        <w:rPr>
          <w:rFonts w:ascii="Times New Roman" w:hAnsi="Times New Roman"/>
        </w:rPr>
        <w:t xml:space="preserve"> проектной отрасли</w:t>
      </w:r>
      <w:r>
        <w:rPr>
          <w:rFonts w:ascii="Times New Roman" w:hAnsi="Times New Roman"/>
        </w:rPr>
        <w:t xml:space="preserve">. </w:t>
      </w:r>
      <w:r w:rsidRPr="00A52D03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201</w:t>
      </w:r>
      <w:r w:rsidR="00086F50">
        <w:rPr>
          <w:rFonts w:ascii="Times New Roman" w:hAnsi="Times New Roman"/>
        </w:rPr>
        <w:t>4</w:t>
      </w:r>
      <w:r>
        <w:rPr>
          <w:rFonts w:ascii="Times New Roman" w:hAnsi="Times New Roman"/>
        </w:rPr>
        <w:t>г.</w:t>
      </w:r>
      <w:r w:rsidRPr="00A52D03">
        <w:rPr>
          <w:rFonts w:ascii="Times New Roman" w:hAnsi="Times New Roman"/>
        </w:rPr>
        <w:t xml:space="preserve"> в Партнерство были приняты </w:t>
      </w:r>
      <w:r w:rsidR="00086F50">
        <w:rPr>
          <w:rFonts w:ascii="Times New Roman" w:hAnsi="Times New Roman"/>
        </w:rPr>
        <w:t>11</w:t>
      </w:r>
      <w:r w:rsidRPr="00A52D03">
        <w:rPr>
          <w:rFonts w:ascii="Times New Roman" w:hAnsi="Times New Roman"/>
        </w:rPr>
        <w:t xml:space="preserve"> предприятий</w:t>
      </w:r>
      <w:r>
        <w:rPr>
          <w:rFonts w:ascii="Times New Roman" w:hAnsi="Times New Roman"/>
        </w:rPr>
        <w:t xml:space="preserve">. </w:t>
      </w:r>
    </w:p>
    <w:p w:rsidR="00086F50" w:rsidRPr="00086F50" w:rsidRDefault="00086F50" w:rsidP="00086F50">
      <w:pPr>
        <w:ind w:left="-425" w:firstLine="709"/>
        <w:jc w:val="both"/>
        <w:rPr>
          <w:rFonts w:ascii="Times New Roman" w:hAnsi="Times New Roman"/>
        </w:rPr>
      </w:pPr>
      <w:r w:rsidRPr="00086F50">
        <w:rPr>
          <w:rFonts w:ascii="Times New Roman" w:hAnsi="Times New Roman"/>
        </w:rPr>
        <w:t xml:space="preserve">За этот же период </w:t>
      </w:r>
      <w:r>
        <w:rPr>
          <w:rFonts w:ascii="Times New Roman" w:hAnsi="Times New Roman"/>
        </w:rPr>
        <w:t>11</w:t>
      </w:r>
      <w:r w:rsidRPr="00086F50">
        <w:rPr>
          <w:rFonts w:ascii="Times New Roman" w:hAnsi="Times New Roman"/>
        </w:rPr>
        <w:t xml:space="preserve"> компаний прекратили членство в Партнерстве, из них:</w:t>
      </w:r>
    </w:p>
    <w:p w:rsidR="00086F50" w:rsidRPr="00086F50" w:rsidRDefault="00086F50" w:rsidP="00086F50">
      <w:pPr>
        <w:ind w:left="-425"/>
        <w:jc w:val="both"/>
        <w:rPr>
          <w:rFonts w:ascii="Times New Roman" w:hAnsi="Times New Roman"/>
        </w:rPr>
      </w:pPr>
      <w:r w:rsidRPr="00086F5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8</w:t>
      </w:r>
      <w:r w:rsidRPr="00086F50">
        <w:rPr>
          <w:rFonts w:ascii="Times New Roman" w:hAnsi="Times New Roman"/>
        </w:rPr>
        <w:t xml:space="preserve"> организаций по заявлению о добровольном выходе:</w:t>
      </w:r>
      <w:r w:rsidRPr="00086F5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086F50">
        <w:rPr>
          <w:rFonts w:ascii="Times New Roman" w:hAnsi="Times New Roman"/>
        </w:rPr>
        <w:t>ООО «РТВ Проект-ДВ», ООО "СК "Монолит-ДВ", МКП УАПБ УГО, КГУП «Примтеплоэнерго», ООО «ВОСТОКСТРОЙСЕРВИС», ООО "Диагностик", ООО «</w:t>
      </w:r>
      <w:proofErr w:type="spellStart"/>
      <w:r w:rsidRPr="00086F50">
        <w:rPr>
          <w:rFonts w:ascii="Times New Roman" w:hAnsi="Times New Roman"/>
        </w:rPr>
        <w:t>ПримВВпроект</w:t>
      </w:r>
      <w:proofErr w:type="spellEnd"/>
      <w:r w:rsidRPr="00086F50">
        <w:rPr>
          <w:rFonts w:ascii="Times New Roman" w:hAnsi="Times New Roman"/>
        </w:rPr>
        <w:t>», ООО «</w:t>
      </w:r>
      <w:proofErr w:type="gramStart"/>
      <w:r w:rsidRPr="00086F50">
        <w:rPr>
          <w:rFonts w:ascii="Times New Roman" w:hAnsi="Times New Roman"/>
        </w:rPr>
        <w:t>М-АРК</w:t>
      </w:r>
      <w:proofErr w:type="gramEnd"/>
      <w:r w:rsidRPr="00086F50">
        <w:rPr>
          <w:rFonts w:ascii="Times New Roman" w:hAnsi="Times New Roman"/>
        </w:rPr>
        <w:t>» (в связи с изменением сферы деятельности и/или ликвидацией организации);</w:t>
      </w:r>
    </w:p>
    <w:p w:rsidR="00086F50" w:rsidRPr="00086F50" w:rsidRDefault="00086F50" w:rsidP="00086F50">
      <w:pPr>
        <w:ind w:left="-425"/>
        <w:jc w:val="both"/>
        <w:rPr>
          <w:rFonts w:ascii="Times New Roman" w:hAnsi="Times New Roman"/>
        </w:rPr>
      </w:pPr>
      <w:r w:rsidRPr="00086F5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3</w:t>
      </w:r>
      <w:r w:rsidRPr="00086F50">
        <w:rPr>
          <w:rFonts w:ascii="Times New Roman" w:hAnsi="Times New Roman"/>
        </w:rPr>
        <w:t xml:space="preserve"> организации исключены решением Совета Партнерства: ООО «ВОСТОКСТРОЙСЕРВИС»</w:t>
      </w:r>
      <w:r>
        <w:rPr>
          <w:rFonts w:ascii="Times New Roman" w:hAnsi="Times New Roman"/>
        </w:rPr>
        <w:t xml:space="preserve">, </w:t>
      </w:r>
      <w:r w:rsidRPr="00086F50">
        <w:rPr>
          <w:rFonts w:ascii="Times New Roman" w:hAnsi="Times New Roman"/>
        </w:rPr>
        <w:t>ООО «НП Групп»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и ООО</w:t>
      </w:r>
      <w:proofErr w:type="gram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Градэк</w:t>
      </w:r>
      <w:proofErr w:type="spellEnd"/>
      <w:r>
        <w:rPr>
          <w:rFonts w:ascii="Times New Roman" w:hAnsi="Times New Roman"/>
        </w:rPr>
        <w:t>-Центр»</w:t>
      </w:r>
      <w:r w:rsidRPr="00086F50">
        <w:rPr>
          <w:rFonts w:ascii="Times New Roman" w:hAnsi="Times New Roman"/>
        </w:rPr>
        <w:t xml:space="preserve"> (за нарушение условий членства и несоблюдение Требований к выдаче свидетельства о допуске к определенному виду или видам работ, которые оказывают влияние на безопасность объе</w:t>
      </w:r>
      <w:r>
        <w:rPr>
          <w:rFonts w:ascii="Times New Roman" w:hAnsi="Times New Roman"/>
        </w:rPr>
        <w:t>ктов капитального строительства</w:t>
      </w:r>
      <w:r w:rsidRPr="00086F5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912842" w:rsidRPr="00912842" w:rsidRDefault="00912842" w:rsidP="00826A96">
      <w:pPr>
        <w:ind w:firstLine="709"/>
        <w:jc w:val="both"/>
        <w:rPr>
          <w:rFonts w:ascii="Times New Roman" w:hAnsi="Times New Roman"/>
        </w:rPr>
      </w:pPr>
    </w:p>
    <w:p w:rsidR="00A5659F" w:rsidRPr="00C244BC" w:rsidRDefault="009C305A" w:rsidP="00392666">
      <w:pPr>
        <w:ind w:left="-426" w:firstLine="71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Среднее</w:t>
      </w:r>
      <w:r w:rsidR="00086F50">
        <w:rPr>
          <w:rFonts w:ascii="Times New Roman" w:hAnsi="Times New Roman"/>
        </w:rPr>
        <w:t xml:space="preserve"> количество работников</w:t>
      </w:r>
      <w:r>
        <w:rPr>
          <w:rFonts w:ascii="Times New Roman" w:hAnsi="Times New Roman"/>
        </w:rPr>
        <w:t xml:space="preserve"> в организациях</w:t>
      </w:r>
      <w:r w:rsidR="00086F50">
        <w:rPr>
          <w:rFonts w:ascii="Times New Roman" w:hAnsi="Times New Roman"/>
        </w:rPr>
        <w:t>,</w:t>
      </w:r>
      <w:r w:rsidR="00A5659F" w:rsidRPr="00C244BC">
        <w:rPr>
          <w:rFonts w:ascii="Times New Roman" w:hAnsi="Times New Roman"/>
        </w:rPr>
        <w:t xml:space="preserve"> занятых подготовкой проектной  документации, </w:t>
      </w:r>
      <w:r w:rsidR="00A5659F" w:rsidRPr="00493227">
        <w:rPr>
          <w:rFonts w:ascii="Times New Roman" w:hAnsi="Times New Roman"/>
        </w:rPr>
        <w:t>около 10 специалистов</w:t>
      </w:r>
      <w:r>
        <w:rPr>
          <w:rFonts w:ascii="Times New Roman" w:hAnsi="Times New Roman"/>
        </w:rPr>
        <w:t xml:space="preserve">, что характерно для всего периода существования Партнерства. При этом количество таких организаций </w:t>
      </w:r>
      <w:r w:rsidR="00086F50">
        <w:rPr>
          <w:rFonts w:ascii="Times New Roman" w:hAnsi="Times New Roman"/>
        </w:rPr>
        <w:t>уменьшилось</w:t>
      </w:r>
      <w:r w:rsidR="001D2F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 48, по сравнению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предыдущем</w:t>
      </w:r>
      <w:proofErr w:type="gramEnd"/>
      <w:r>
        <w:rPr>
          <w:rFonts w:ascii="Times New Roman" w:hAnsi="Times New Roman"/>
        </w:rPr>
        <w:t xml:space="preserve"> годом, где эта число составляло 61, что свидетельствует о снижении  </w:t>
      </w:r>
      <w:r w:rsidRPr="009C305A">
        <w:rPr>
          <w:rFonts w:ascii="Times New Roman" w:hAnsi="Times New Roman"/>
        </w:rPr>
        <w:t>количеств</w:t>
      </w:r>
      <w:r>
        <w:rPr>
          <w:rFonts w:ascii="Times New Roman" w:hAnsi="Times New Roman"/>
        </w:rPr>
        <w:t>а</w:t>
      </w:r>
      <w:r w:rsidRPr="009C305A">
        <w:rPr>
          <w:rFonts w:ascii="Times New Roman" w:hAnsi="Times New Roman"/>
        </w:rPr>
        <w:t xml:space="preserve"> работников, занятых подготовкой проектной  документации</w:t>
      </w:r>
      <w:r>
        <w:rPr>
          <w:rFonts w:ascii="Times New Roman" w:hAnsi="Times New Roman"/>
        </w:rPr>
        <w:t xml:space="preserve">.  </w:t>
      </w:r>
    </w:p>
    <w:p w:rsidR="00912842" w:rsidRDefault="00912842" w:rsidP="00826A96">
      <w:pPr>
        <w:jc w:val="both"/>
        <w:rPr>
          <w:rFonts w:ascii="Times New Roman" w:hAnsi="Times New Roman"/>
        </w:rPr>
      </w:pPr>
    </w:p>
    <w:p w:rsidR="00746AF4" w:rsidRDefault="00746AF4" w:rsidP="00826A96">
      <w:pPr>
        <w:jc w:val="both"/>
        <w:rPr>
          <w:rFonts w:ascii="Times New Roman" w:hAnsi="Times New Roman"/>
        </w:rPr>
      </w:pPr>
    </w:p>
    <w:p w:rsidR="00912842" w:rsidRDefault="00A5659F" w:rsidP="00826A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0AD76E4" wp14:editId="19B6AE85">
            <wp:extent cx="5448300" cy="35337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5E2A" w:rsidRPr="00C244BC" w:rsidRDefault="00695E2A" w:rsidP="00826A96">
      <w:pPr>
        <w:rPr>
          <w:rFonts w:ascii="Times New Roman" w:hAnsi="Times New Roman"/>
          <w:color w:val="FF0000"/>
        </w:rPr>
      </w:pPr>
    </w:p>
    <w:p w:rsidR="00826A96" w:rsidRDefault="00A5659F" w:rsidP="00826A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</w:p>
    <w:p w:rsidR="00695E2A" w:rsidRDefault="00A5659F" w:rsidP="00826A9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Динамика изменений </w:t>
      </w:r>
      <w:r w:rsidR="001D2FAC">
        <w:rPr>
          <w:rFonts w:ascii="Times New Roman" w:hAnsi="Times New Roman"/>
        </w:rPr>
        <w:t xml:space="preserve">общее количество специалистов </w:t>
      </w:r>
      <w:r w:rsidR="001D2FAC" w:rsidRPr="00A5659F">
        <w:rPr>
          <w:rFonts w:ascii="Times New Roman" w:hAnsi="Times New Roman"/>
        </w:rPr>
        <w:t>заявленных на выполнение проектных работ</w:t>
      </w:r>
      <w:r w:rsidR="001D2FAC">
        <w:rPr>
          <w:rFonts w:ascii="Times New Roman" w:hAnsi="Times New Roman"/>
        </w:rPr>
        <w:t xml:space="preserve"> всех членов СРО НП ППК</w:t>
      </w:r>
      <w:r w:rsidR="001D2FAC" w:rsidRPr="00C244BC">
        <w:rPr>
          <w:rFonts w:ascii="Times New Roman" w:hAnsi="Times New Roman"/>
        </w:rPr>
        <w:t xml:space="preserve"> </w:t>
      </w:r>
      <w:r w:rsidRPr="00C244BC">
        <w:rPr>
          <w:rFonts w:ascii="Times New Roman" w:hAnsi="Times New Roman"/>
        </w:rPr>
        <w:t>видн</w:t>
      </w:r>
      <w:r>
        <w:rPr>
          <w:rFonts w:ascii="Times New Roman" w:hAnsi="Times New Roman"/>
        </w:rPr>
        <w:t xml:space="preserve">а на </w:t>
      </w:r>
      <w:r w:rsidRPr="00C244BC">
        <w:rPr>
          <w:rFonts w:ascii="Times New Roman" w:hAnsi="Times New Roman"/>
        </w:rPr>
        <w:t>диаграмм</w:t>
      </w:r>
      <w:r>
        <w:rPr>
          <w:rFonts w:ascii="Times New Roman" w:hAnsi="Times New Roman"/>
        </w:rPr>
        <w:t>е.</w:t>
      </w:r>
    </w:p>
    <w:p w:rsidR="00A5659F" w:rsidRDefault="00A5659F" w:rsidP="00826A96">
      <w:pPr>
        <w:rPr>
          <w:rFonts w:ascii="Times New Roman" w:hAnsi="Times New Roman"/>
        </w:rPr>
      </w:pPr>
    </w:p>
    <w:p w:rsidR="00A5659F" w:rsidRPr="00C244BC" w:rsidRDefault="00A5659F" w:rsidP="00826A9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051E5CF" wp14:editId="30E9EBBD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1000" w:rsidRDefault="00951000" w:rsidP="00826A96">
      <w:pPr>
        <w:jc w:val="both"/>
        <w:rPr>
          <w:rFonts w:ascii="Times New Roman" w:hAnsi="Times New Roman"/>
        </w:rPr>
      </w:pPr>
    </w:p>
    <w:p w:rsidR="008B4A5D" w:rsidRDefault="002A7098" w:rsidP="00826A9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Партнерства в своей работе используют как общую систему налогообложения, так упрощенную, </w:t>
      </w:r>
      <w:r w:rsidR="004F58D8">
        <w:rPr>
          <w:rFonts w:ascii="Times New Roman" w:hAnsi="Times New Roman"/>
        </w:rPr>
        <w:t>48</w:t>
      </w:r>
      <w:r>
        <w:rPr>
          <w:rFonts w:ascii="Times New Roman" w:hAnsi="Times New Roman"/>
        </w:rPr>
        <w:t xml:space="preserve">% и </w:t>
      </w:r>
      <w:r w:rsidR="004F58D8">
        <w:rPr>
          <w:rFonts w:ascii="Times New Roman" w:hAnsi="Times New Roman"/>
        </w:rPr>
        <w:t>52</w:t>
      </w:r>
      <w:r>
        <w:rPr>
          <w:rFonts w:ascii="Times New Roman" w:hAnsi="Times New Roman"/>
        </w:rPr>
        <w:t>% соответственно</w:t>
      </w:r>
      <w:r w:rsidR="004F58D8">
        <w:rPr>
          <w:rFonts w:ascii="Times New Roman" w:hAnsi="Times New Roman"/>
        </w:rPr>
        <w:t>, что отличается от 2013г, где соотношение было 52</w:t>
      </w:r>
      <w:r w:rsidR="004F58D8" w:rsidRPr="004F58D8">
        <w:rPr>
          <w:rFonts w:ascii="Times New Roman" w:hAnsi="Times New Roman"/>
        </w:rPr>
        <w:t>%</w:t>
      </w:r>
      <w:r w:rsidR="004F58D8">
        <w:rPr>
          <w:rFonts w:ascii="Times New Roman" w:hAnsi="Times New Roman"/>
        </w:rPr>
        <w:t xml:space="preserve"> и 48</w:t>
      </w:r>
      <w:r w:rsidR="004F58D8" w:rsidRPr="004F58D8">
        <w:rPr>
          <w:rFonts w:ascii="Times New Roman" w:hAnsi="Times New Roman"/>
        </w:rPr>
        <w:t>%</w:t>
      </w:r>
      <w:r w:rsidR="004F58D8" w:rsidRPr="004F58D8">
        <w:t xml:space="preserve"> </w:t>
      </w:r>
      <w:r w:rsidR="004F58D8" w:rsidRPr="004F58D8">
        <w:rPr>
          <w:rFonts w:ascii="Times New Roman" w:hAnsi="Times New Roman"/>
        </w:rPr>
        <w:t>соответственно</w:t>
      </w:r>
      <w:r w:rsidR="004F58D8">
        <w:rPr>
          <w:rFonts w:ascii="Times New Roman" w:hAnsi="Times New Roman"/>
        </w:rPr>
        <w:t>.</w:t>
      </w:r>
    </w:p>
    <w:p w:rsidR="008B4A5D" w:rsidRDefault="002A7098" w:rsidP="00826A96">
      <w:pPr>
        <w:ind w:firstLine="709"/>
        <w:jc w:val="both"/>
        <w:rPr>
          <w:rFonts w:ascii="Times New Roman" w:hAnsi="Times New Roman"/>
        </w:rPr>
      </w:pPr>
      <w:r w:rsidRPr="002A7098">
        <w:rPr>
          <w:rFonts w:ascii="Times New Roman" w:hAnsi="Times New Roman"/>
        </w:rPr>
        <w:t>Партнерств</w:t>
      </w:r>
      <w:r>
        <w:rPr>
          <w:rFonts w:ascii="Times New Roman" w:hAnsi="Times New Roman"/>
        </w:rPr>
        <w:t xml:space="preserve">о объединяет </w:t>
      </w:r>
      <w:r w:rsidRPr="002A7098">
        <w:rPr>
          <w:rFonts w:ascii="Times New Roman" w:hAnsi="Times New Roman"/>
        </w:rPr>
        <w:t xml:space="preserve"> предприяти</w:t>
      </w:r>
      <w:r>
        <w:rPr>
          <w:rFonts w:ascii="Times New Roman" w:hAnsi="Times New Roman"/>
        </w:rPr>
        <w:t>я</w:t>
      </w:r>
      <w:r w:rsidRPr="002A7098">
        <w:rPr>
          <w:rFonts w:ascii="Times New Roman" w:hAnsi="Times New Roman"/>
        </w:rPr>
        <w:t>, занятых в проектной сфере, в том числе строительных компаний, имеющих в своей структуре отделы по проектированию</w:t>
      </w:r>
      <w:r w:rsidR="00F0704C">
        <w:rPr>
          <w:rFonts w:ascii="Times New Roman" w:hAnsi="Times New Roman"/>
        </w:rPr>
        <w:t>.</w:t>
      </w:r>
    </w:p>
    <w:p w:rsidR="00F0704C" w:rsidRDefault="00F0704C" w:rsidP="00826A96">
      <w:pPr>
        <w:ind w:firstLine="709"/>
        <w:jc w:val="both"/>
        <w:rPr>
          <w:rFonts w:ascii="Times New Roman" w:hAnsi="Times New Roman"/>
        </w:rPr>
      </w:pPr>
    </w:p>
    <w:p w:rsidR="001C26BB" w:rsidRDefault="00F0704C" w:rsidP="00826A9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организаций по с</w:t>
      </w:r>
      <w:r w:rsidRPr="00F0704C">
        <w:rPr>
          <w:rFonts w:ascii="Times New Roman" w:hAnsi="Times New Roman"/>
        </w:rPr>
        <w:t>татус</w:t>
      </w:r>
      <w:r>
        <w:rPr>
          <w:rFonts w:ascii="Times New Roman" w:hAnsi="Times New Roman"/>
        </w:rPr>
        <w:t>у</w:t>
      </w:r>
      <w:r w:rsidRPr="00F0704C">
        <w:rPr>
          <w:rFonts w:ascii="Times New Roman" w:hAnsi="Times New Roman"/>
        </w:rPr>
        <w:t xml:space="preserve"> заказчиков (государственные,  муниципальные, частные)</w:t>
      </w:r>
      <w:r>
        <w:rPr>
          <w:rFonts w:ascii="Times New Roman" w:hAnsi="Times New Roman"/>
        </w:rPr>
        <w:t xml:space="preserve"> </w:t>
      </w:r>
      <w:r w:rsidR="004F58D8">
        <w:rPr>
          <w:rFonts w:ascii="Times New Roman" w:hAnsi="Times New Roman"/>
        </w:rPr>
        <w:t xml:space="preserve">и динамика 2013-2014гг.  </w:t>
      </w:r>
      <w:r>
        <w:rPr>
          <w:rFonts w:ascii="Times New Roman" w:hAnsi="Times New Roman"/>
        </w:rPr>
        <w:t>показано на диаграмме</w:t>
      </w:r>
      <w:r w:rsidR="001C26BB">
        <w:rPr>
          <w:rFonts w:ascii="Times New Roman" w:hAnsi="Times New Roman"/>
        </w:rPr>
        <w:t>.</w:t>
      </w:r>
      <w:r w:rsidR="001C26BB" w:rsidRPr="001C26BB">
        <w:rPr>
          <w:rFonts w:ascii="Times New Roman" w:hAnsi="Times New Roman"/>
        </w:rPr>
        <w:t xml:space="preserve"> </w:t>
      </w:r>
    </w:p>
    <w:p w:rsidR="00F0704C" w:rsidRDefault="00F0704C" w:rsidP="00826A96">
      <w:pPr>
        <w:rPr>
          <w:rFonts w:ascii="Times New Roman" w:hAnsi="Times New Roman"/>
        </w:rPr>
      </w:pPr>
    </w:p>
    <w:p w:rsidR="00F0704C" w:rsidRDefault="00F0704C" w:rsidP="00826A9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9056FF7" wp14:editId="00A51EB4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6A96" w:rsidRDefault="00826A96" w:rsidP="00826A96">
      <w:pPr>
        <w:ind w:firstLine="709"/>
        <w:rPr>
          <w:rFonts w:ascii="Times New Roman" w:hAnsi="Times New Roman"/>
        </w:rPr>
      </w:pPr>
    </w:p>
    <w:p w:rsidR="00F0704C" w:rsidRDefault="001C26BB" w:rsidP="00826A9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Из чего следует, что </w:t>
      </w:r>
      <w:r w:rsidR="004F58D8">
        <w:rPr>
          <w:rFonts w:ascii="Times New Roman" w:hAnsi="Times New Roman"/>
        </w:rPr>
        <w:t>сократилось количество  членов СРО НП ППК работающих</w:t>
      </w:r>
      <w:r>
        <w:rPr>
          <w:rFonts w:ascii="Times New Roman" w:hAnsi="Times New Roman"/>
        </w:rPr>
        <w:t xml:space="preserve"> </w:t>
      </w:r>
      <w:r w:rsidR="004F58D8">
        <w:rPr>
          <w:rFonts w:ascii="Times New Roman" w:hAnsi="Times New Roman"/>
        </w:rPr>
        <w:t xml:space="preserve">с частными заказчиками и соответственно увеличилось число </w:t>
      </w:r>
      <w:r>
        <w:rPr>
          <w:rFonts w:ascii="Times New Roman" w:hAnsi="Times New Roman"/>
        </w:rPr>
        <w:t xml:space="preserve">организаций </w:t>
      </w:r>
      <w:r w:rsidR="004F58D8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различны</w:t>
      </w:r>
      <w:r w:rsidR="004F58D8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статус</w:t>
      </w:r>
      <w:r w:rsidR="004F58D8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своих заказчиков.</w:t>
      </w:r>
    </w:p>
    <w:p w:rsidR="008B4A5D" w:rsidRDefault="008B4A5D" w:rsidP="00826A96">
      <w:pPr>
        <w:ind w:firstLine="709"/>
        <w:rPr>
          <w:rFonts w:ascii="Times New Roman" w:hAnsi="Times New Roman"/>
        </w:rPr>
      </w:pPr>
    </w:p>
    <w:p w:rsidR="008B4A5D" w:rsidRDefault="001C26BB" w:rsidP="00826A96">
      <w:pPr>
        <w:ind w:firstLine="709"/>
        <w:jc w:val="both"/>
        <w:rPr>
          <w:rFonts w:ascii="Times New Roman" w:hAnsi="Times New Roman"/>
        </w:rPr>
      </w:pPr>
      <w:r w:rsidRPr="00107594">
        <w:rPr>
          <w:rFonts w:ascii="Times New Roman" w:hAnsi="Times New Roman"/>
        </w:rPr>
        <w:t xml:space="preserve">Большая часть компаний, входящих в состав Партнерства, специализируется на </w:t>
      </w:r>
      <w:r w:rsidR="003C369F" w:rsidRPr="00107594">
        <w:rPr>
          <w:rFonts w:ascii="Times New Roman" w:hAnsi="Times New Roman"/>
        </w:rPr>
        <w:t xml:space="preserve">совокупности различных </w:t>
      </w:r>
      <w:r w:rsidRPr="00107594">
        <w:rPr>
          <w:rFonts w:ascii="Times New Roman" w:hAnsi="Times New Roman"/>
        </w:rPr>
        <w:t xml:space="preserve">направлений проектной деятельности. Но есть и </w:t>
      </w:r>
      <w:r w:rsidR="00C03ED8" w:rsidRPr="00107594">
        <w:rPr>
          <w:rFonts w:ascii="Times New Roman" w:hAnsi="Times New Roman"/>
        </w:rPr>
        <w:t xml:space="preserve">узкоспециализированные организации, в основном занимающиеся </w:t>
      </w:r>
      <w:r w:rsidRPr="00107594">
        <w:rPr>
          <w:rFonts w:ascii="Times New Roman" w:hAnsi="Times New Roman"/>
        </w:rPr>
        <w:t xml:space="preserve"> </w:t>
      </w:r>
      <w:r w:rsidR="00C03ED8" w:rsidRPr="00107594">
        <w:rPr>
          <w:rFonts w:ascii="Times New Roman" w:hAnsi="Times New Roman"/>
        </w:rPr>
        <w:t>инженерными сетями и системами, слаботочными системами,  диспетчеризацией, автоматизацией и системами  пожарной безопасности</w:t>
      </w:r>
      <w:r w:rsidR="00107594" w:rsidRPr="00107594">
        <w:rPr>
          <w:rFonts w:ascii="Times New Roman" w:hAnsi="Times New Roman"/>
        </w:rPr>
        <w:t xml:space="preserve">, количество которых не изменилось по сравнению с </w:t>
      </w:r>
      <w:proofErr w:type="spellStart"/>
      <w:r w:rsidR="00107594" w:rsidRPr="00107594">
        <w:rPr>
          <w:rFonts w:ascii="Times New Roman" w:hAnsi="Times New Roman"/>
        </w:rPr>
        <w:t>предыдуще</w:t>
      </w:r>
      <w:proofErr w:type="spellEnd"/>
      <w:r w:rsidR="00107594" w:rsidRPr="00107594">
        <w:rPr>
          <w:rFonts w:ascii="Times New Roman" w:hAnsi="Times New Roman"/>
        </w:rPr>
        <w:t xml:space="preserve"> отчетным периодом.</w:t>
      </w:r>
      <w:r w:rsidR="00C03ED8">
        <w:rPr>
          <w:rFonts w:ascii="Times New Roman" w:hAnsi="Times New Roman"/>
        </w:rPr>
        <w:t xml:space="preserve"> </w:t>
      </w:r>
    </w:p>
    <w:p w:rsidR="00C03ED8" w:rsidRDefault="00C03ED8" w:rsidP="00826A96">
      <w:pPr>
        <w:jc w:val="both"/>
        <w:rPr>
          <w:rFonts w:ascii="Times New Roman" w:hAnsi="Times New Roman"/>
          <w:noProof/>
          <w:lang w:eastAsia="ru-RU"/>
        </w:rPr>
      </w:pPr>
    </w:p>
    <w:p w:rsidR="003C369F" w:rsidRDefault="003C369F" w:rsidP="00826A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997918E" wp14:editId="26B7D296">
            <wp:extent cx="5838825" cy="70866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4A5D" w:rsidRDefault="008B4A5D" w:rsidP="00826A96">
      <w:pPr>
        <w:rPr>
          <w:rFonts w:ascii="Times New Roman" w:hAnsi="Times New Roman"/>
        </w:rPr>
      </w:pPr>
    </w:p>
    <w:p w:rsidR="00605DB0" w:rsidRDefault="00605DB0" w:rsidP="00826A9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15 организаций имеют Свидетельство о допуске к видам</w:t>
      </w:r>
      <w:r w:rsidRPr="00605DB0">
        <w:rPr>
          <w:rFonts w:ascii="Times New Roman" w:hAnsi="Times New Roman"/>
        </w:rPr>
        <w:t xml:space="preserve"> работ, которые оказывают влияние на безопасность</w:t>
      </w:r>
      <w:r>
        <w:rPr>
          <w:rFonts w:ascii="Times New Roman" w:hAnsi="Times New Roman"/>
        </w:rPr>
        <w:t xml:space="preserve"> </w:t>
      </w:r>
      <w:r w:rsidRPr="00605DB0">
        <w:rPr>
          <w:rFonts w:ascii="Times New Roman" w:hAnsi="Times New Roman"/>
        </w:rPr>
        <w:t>особо опасных и технически сложных объектов капитального строительства (кроме объектов использования атомной энергии)</w:t>
      </w:r>
      <w:r>
        <w:rPr>
          <w:rFonts w:ascii="Times New Roman" w:hAnsi="Times New Roman"/>
        </w:rPr>
        <w:t xml:space="preserve">. </w:t>
      </w:r>
    </w:p>
    <w:p w:rsidR="00605DB0" w:rsidRDefault="00605DB0" w:rsidP="00826A96">
      <w:pPr>
        <w:rPr>
          <w:rFonts w:ascii="Times New Roman" w:hAnsi="Times New Roman"/>
        </w:rPr>
      </w:pPr>
    </w:p>
    <w:p w:rsidR="00605DB0" w:rsidRDefault="00605DB0" w:rsidP="00605DB0">
      <w:pPr>
        <w:ind w:firstLine="709"/>
        <w:jc w:val="both"/>
        <w:rPr>
          <w:rFonts w:ascii="Times New Roman" w:hAnsi="Times New Roman"/>
        </w:rPr>
      </w:pPr>
      <w:r w:rsidRPr="00C244BC">
        <w:rPr>
          <w:rFonts w:ascii="Times New Roman" w:hAnsi="Times New Roman"/>
        </w:rPr>
        <w:t xml:space="preserve">Основная часть организаций </w:t>
      </w:r>
      <w:r>
        <w:rPr>
          <w:rFonts w:ascii="Times New Roman" w:hAnsi="Times New Roman"/>
        </w:rPr>
        <w:t xml:space="preserve">по-прежнему </w:t>
      </w:r>
      <w:r w:rsidRPr="00C244BC">
        <w:rPr>
          <w:rFonts w:ascii="Times New Roman" w:hAnsi="Times New Roman"/>
        </w:rPr>
        <w:t xml:space="preserve">осуществляет </w:t>
      </w:r>
      <w:r>
        <w:rPr>
          <w:rFonts w:ascii="Times New Roman" w:hAnsi="Times New Roman"/>
        </w:rPr>
        <w:t>р</w:t>
      </w:r>
      <w:r w:rsidRPr="00DE011D">
        <w:rPr>
          <w:rFonts w:ascii="Times New Roman" w:hAnsi="Times New Roman"/>
        </w:rPr>
        <w:t>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Pr="00C244BC">
        <w:rPr>
          <w:rFonts w:ascii="Times New Roman" w:hAnsi="Times New Roman"/>
        </w:rPr>
        <w:t>, стоимость, котор</w:t>
      </w:r>
      <w:r>
        <w:rPr>
          <w:rFonts w:ascii="Times New Roman" w:hAnsi="Times New Roman"/>
        </w:rPr>
        <w:t>ых</w:t>
      </w:r>
      <w:r w:rsidRPr="00C244BC">
        <w:rPr>
          <w:rFonts w:ascii="Times New Roman" w:hAnsi="Times New Roman"/>
        </w:rPr>
        <w:t xml:space="preserve"> по одному договору не превышает пять миллионов рублей. </w:t>
      </w:r>
      <w:r w:rsidR="00B84DAB">
        <w:rPr>
          <w:rFonts w:ascii="Times New Roman" w:hAnsi="Times New Roman"/>
        </w:rPr>
        <w:t xml:space="preserve">Как видно из диаграммы, </w:t>
      </w:r>
      <w:r w:rsidRPr="00C244BC">
        <w:rPr>
          <w:rFonts w:ascii="Times New Roman" w:hAnsi="Times New Roman"/>
        </w:rPr>
        <w:t xml:space="preserve">на сегодняшний день </w:t>
      </w:r>
      <w:r w:rsidR="00B84DAB">
        <w:rPr>
          <w:rFonts w:ascii="Times New Roman" w:hAnsi="Times New Roman"/>
        </w:rPr>
        <w:t>увеличилось</w:t>
      </w:r>
      <w:r>
        <w:rPr>
          <w:rFonts w:ascii="Times New Roman" w:hAnsi="Times New Roman"/>
        </w:rPr>
        <w:t xml:space="preserve"> число организаций </w:t>
      </w:r>
      <w:r w:rsidRPr="00C244BC">
        <w:rPr>
          <w:rFonts w:ascii="Times New Roman" w:hAnsi="Times New Roman"/>
        </w:rPr>
        <w:t>осуществляю</w:t>
      </w:r>
      <w:r>
        <w:rPr>
          <w:rFonts w:ascii="Times New Roman" w:hAnsi="Times New Roman"/>
        </w:rPr>
        <w:t>щих</w:t>
      </w:r>
      <w:r w:rsidRPr="00C244BC">
        <w:rPr>
          <w:rFonts w:ascii="Times New Roman" w:hAnsi="Times New Roman"/>
        </w:rPr>
        <w:t xml:space="preserve"> организацию работ по подготовке проектно</w:t>
      </w:r>
      <w:r w:rsidR="00B84DAB">
        <w:rPr>
          <w:rFonts w:ascii="Times New Roman" w:hAnsi="Times New Roman"/>
        </w:rPr>
        <w:t>й документации, стоимость которых</w:t>
      </w:r>
      <w:r w:rsidRPr="00C244BC">
        <w:rPr>
          <w:rFonts w:ascii="Times New Roman" w:hAnsi="Times New Roman"/>
        </w:rPr>
        <w:t xml:space="preserve"> по одному договору </w:t>
      </w:r>
      <w:r w:rsidR="00B84DAB">
        <w:rPr>
          <w:rFonts w:ascii="Times New Roman" w:hAnsi="Times New Roman"/>
        </w:rPr>
        <w:t xml:space="preserve">превышает 5 млн. руб. и соответственно уменьшилось (на 48%) количество компаний, где стоимость работ генерального проектировщика </w:t>
      </w:r>
      <w:r w:rsidR="00B84DAB" w:rsidRPr="00B84DAB">
        <w:rPr>
          <w:rFonts w:ascii="Times New Roman" w:hAnsi="Times New Roman"/>
        </w:rPr>
        <w:t xml:space="preserve">по одному договору не превышает </w:t>
      </w:r>
      <w:r w:rsidR="00B84DAB">
        <w:rPr>
          <w:rFonts w:ascii="Times New Roman" w:hAnsi="Times New Roman"/>
        </w:rPr>
        <w:t>5 млн.</w:t>
      </w:r>
      <w:r w:rsidR="00B84DAB" w:rsidRPr="00B84DAB">
        <w:rPr>
          <w:rFonts w:ascii="Times New Roman" w:hAnsi="Times New Roman"/>
        </w:rPr>
        <w:t xml:space="preserve"> руб</w:t>
      </w:r>
      <w:r w:rsidR="00B84DAB">
        <w:rPr>
          <w:rFonts w:ascii="Times New Roman" w:hAnsi="Times New Roman"/>
        </w:rPr>
        <w:t xml:space="preserve">.  </w:t>
      </w:r>
    </w:p>
    <w:p w:rsidR="00605DB0" w:rsidRDefault="00605DB0" w:rsidP="00605DB0">
      <w:pPr>
        <w:ind w:firstLine="709"/>
        <w:jc w:val="both"/>
        <w:rPr>
          <w:rFonts w:ascii="Times New Roman" w:hAnsi="Times New Roman"/>
        </w:rPr>
      </w:pPr>
    </w:p>
    <w:p w:rsidR="00605DB0" w:rsidRPr="00C244BC" w:rsidRDefault="000A1A16" w:rsidP="00605DB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05DB0" w:rsidRDefault="00605DB0" w:rsidP="00605DB0">
      <w:pPr>
        <w:jc w:val="both"/>
        <w:rPr>
          <w:rFonts w:ascii="Times New Roman" w:hAnsi="Times New Roman"/>
        </w:rPr>
      </w:pPr>
    </w:p>
    <w:p w:rsidR="00605DB0" w:rsidRDefault="00605DB0" w:rsidP="00605DB0">
      <w:pPr>
        <w:ind w:firstLine="709"/>
        <w:jc w:val="both"/>
        <w:rPr>
          <w:rFonts w:ascii="Times New Roman" w:hAnsi="Times New Roman"/>
        </w:rPr>
      </w:pPr>
    </w:p>
    <w:p w:rsidR="00605DB0" w:rsidRDefault="00605DB0" w:rsidP="00826A96">
      <w:pPr>
        <w:rPr>
          <w:rFonts w:ascii="Times New Roman" w:hAnsi="Times New Roman"/>
        </w:rPr>
      </w:pPr>
    </w:p>
    <w:p w:rsidR="00605DB0" w:rsidRDefault="00605DB0" w:rsidP="00826A96">
      <w:pPr>
        <w:rPr>
          <w:rFonts w:ascii="Times New Roman" w:hAnsi="Times New Roman"/>
        </w:rPr>
      </w:pPr>
    </w:p>
    <w:p w:rsidR="0069291B" w:rsidRDefault="0069291B" w:rsidP="00826A96">
      <w:pPr>
        <w:ind w:firstLine="709"/>
        <w:jc w:val="both"/>
        <w:rPr>
          <w:rFonts w:ascii="Times New Roman" w:hAnsi="Times New Roman"/>
        </w:rPr>
      </w:pPr>
      <w:r w:rsidRPr="008B4A5D">
        <w:rPr>
          <w:rFonts w:ascii="Times New Roman" w:hAnsi="Times New Roman"/>
        </w:rPr>
        <w:t>У всех членов СРО</w:t>
      </w:r>
      <w:r>
        <w:rPr>
          <w:rFonts w:ascii="Times New Roman" w:hAnsi="Times New Roman"/>
        </w:rPr>
        <w:t xml:space="preserve"> НП ППК</w:t>
      </w:r>
      <w:r w:rsidRPr="008B4A5D">
        <w:rPr>
          <w:rFonts w:ascii="Times New Roman" w:hAnsi="Times New Roman"/>
        </w:rPr>
        <w:t xml:space="preserve"> имеются в наличии договора страхования гражданской ответственности, которая может наступить в случае причинения вреда вследствие недостатков выполненных работ.</w:t>
      </w:r>
    </w:p>
    <w:p w:rsidR="008B4A5D" w:rsidRDefault="008B4A5D" w:rsidP="00826A96">
      <w:pPr>
        <w:rPr>
          <w:rFonts w:ascii="Times New Roman" w:hAnsi="Times New Roman"/>
        </w:rPr>
      </w:pPr>
    </w:p>
    <w:p w:rsidR="008B4A5D" w:rsidRDefault="008B4A5D" w:rsidP="00826A96">
      <w:pPr>
        <w:rPr>
          <w:rFonts w:ascii="Times New Roman" w:hAnsi="Times New Roman"/>
        </w:rPr>
      </w:pPr>
    </w:p>
    <w:p w:rsidR="00826A96" w:rsidRDefault="00826A96" w:rsidP="00826A96">
      <w:pPr>
        <w:rPr>
          <w:rFonts w:ascii="Times New Roman" w:hAnsi="Times New Roman"/>
        </w:rPr>
      </w:pPr>
      <w:bookmarkStart w:id="0" w:name="_GoBack"/>
      <w:bookmarkEnd w:id="0"/>
    </w:p>
    <w:sectPr w:rsidR="00826A96" w:rsidSect="00826A96">
      <w:footerReference w:type="default" r:id="rId13"/>
      <w:pgSz w:w="11906" w:h="16838"/>
      <w:pgMar w:top="81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96" w:rsidRDefault="00826A96" w:rsidP="00826A96">
      <w:r>
        <w:separator/>
      </w:r>
    </w:p>
  </w:endnote>
  <w:endnote w:type="continuationSeparator" w:id="0">
    <w:p w:rsidR="00826A96" w:rsidRDefault="00826A96" w:rsidP="0082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61234"/>
      <w:docPartObj>
        <w:docPartGallery w:val="Page Numbers (Bottom of Page)"/>
        <w:docPartUnique/>
      </w:docPartObj>
    </w:sdtPr>
    <w:sdtEndPr/>
    <w:sdtContent>
      <w:p w:rsidR="00B84DAB" w:rsidRDefault="00B84D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66">
          <w:rPr>
            <w:noProof/>
          </w:rPr>
          <w:t>4</w:t>
        </w:r>
        <w:r>
          <w:fldChar w:fldCharType="end"/>
        </w:r>
      </w:p>
    </w:sdtContent>
  </w:sdt>
  <w:p w:rsidR="00B84DAB" w:rsidRDefault="00B84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96" w:rsidRDefault="00826A96" w:rsidP="00826A96">
      <w:r>
        <w:separator/>
      </w:r>
    </w:p>
  </w:footnote>
  <w:footnote w:type="continuationSeparator" w:id="0">
    <w:p w:rsidR="00826A96" w:rsidRDefault="00826A96" w:rsidP="0082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E"/>
    <w:rsid w:val="00057C9E"/>
    <w:rsid w:val="00086F50"/>
    <w:rsid w:val="000A1A16"/>
    <w:rsid w:val="00107594"/>
    <w:rsid w:val="00161DEB"/>
    <w:rsid w:val="00185983"/>
    <w:rsid w:val="00196712"/>
    <w:rsid w:val="001C26BB"/>
    <w:rsid w:val="001D2FAC"/>
    <w:rsid w:val="002759E1"/>
    <w:rsid w:val="00282289"/>
    <w:rsid w:val="002A1A30"/>
    <w:rsid w:val="002A7098"/>
    <w:rsid w:val="00392666"/>
    <w:rsid w:val="003C369F"/>
    <w:rsid w:val="00493227"/>
    <w:rsid w:val="004D07C0"/>
    <w:rsid w:val="004F58D8"/>
    <w:rsid w:val="00523563"/>
    <w:rsid w:val="00605DB0"/>
    <w:rsid w:val="0069291B"/>
    <w:rsid w:val="00695E2A"/>
    <w:rsid w:val="00746AF4"/>
    <w:rsid w:val="00763CF0"/>
    <w:rsid w:val="00790F68"/>
    <w:rsid w:val="00826A96"/>
    <w:rsid w:val="008B4A5D"/>
    <w:rsid w:val="00912842"/>
    <w:rsid w:val="00951000"/>
    <w:rsid w:val="0098551C"/>
    <w:rsid w:val="009C305A"/>
    <w:rsid w:val="00A10FCF"/>
    <w:rsid w:val="00A5146D"/>
    <w:rsid w:val="00A52D03"/>
    <w:rsid w:val="00A5659F"/>
    <w:rsid w:val="00B170BD"/>
    <w:rsid w:val="00B84DAB"/>
    <w:rsid w:val="00BC0F40"/>
    <w:rsid w:val="00BF7B7F"/>
    <w:rsid w:val="00C03ED8"/>
    <w:rsid w:val="00C244BC"/>
    <w:rsid w:val="00C64477"/>
    <w:rsid w:val="00C8055E"/>
    <w:rsid w:val="00DA39EA"/>
    <w:rsid w:val="00DE011D"/>
    <w:rsid w:val="00F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1DEB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A96"/>
    <w:rPr>
      <w:rFonts w:ascii="Cambria" w:eastAsia="Cambria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A96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1DEB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A96"/>
    <w:rPr>
      <w:rFonts w:ascii="Cambria" w:eastAsia="Cambria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A9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организаций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10 специалистов</c:v>
                </c:pt>
                <c:pt idx="1">
                  <c:v>До 20 специалистов</c:v>
                </c:pt>
                <c:pt idx="2">
                  <c:v>До 40 специалистов</c:v>
                </c:pt>
                <c:pt idx="3">
                  <c:v>Свыше 40 специалистов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27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37664"/>
        <c:axId val="44739968"/>
      </c:barChart>
      <c:catAx>
        <c:axId val="4473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44739968"/>
        <c:crosses val="autoZero"/>
        <c:auto val="1"/>
        <c:lblAlgn val="ctr"/>
        <c:lblOffset val="100"/>
        <c:noMultiLvlLbl val="0"/>
      </c:catAx>
      <c:valAx>
        <c:axId val="4473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37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специалистов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 </c:v>
                </c:pt>
                <c:pt idx="4">
                  <c:v>2014г.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730</c:v>
                </c:pt>
                <c:pt idx="1">
                  <c:v>770</c:v>
                </c:pt>
                <c:pt idx="2">
                  <c:v>880</c:v>
                </c:pt>
                <c:pt idx="3">
                  <c:v>920</c:v>
                </c:pt>
                <c:pt idx="4">
                  <c:v>842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456000"/>
        <c:axId val="63457536"/>
      </c:lineChart>
      <c:catAx>
        <c:axId val="63456000"/>
        <c:scaling>
          <c:orientation val="minMax"/>
        </c:scaling>
        <c:delete val="0"/>
        <c:axPos val="b"/>
        <c:majorTickMark val="out"/>
        <c:minorTickMark val="none"/>
        <c:tickLblPos val="nextTo"/>
        <c:crossAx val="63457536"/>
        <c:crosses val="autoZero"/>
        <c:auto val="1"/>
        <c:lblAlgn val="ctr"/>
        <c:lblOffset val="100"/>
        <c:noMultiLvlLbl val="0"/>
      </c:catAx>
      <c:valAx>
        <c:axId val="63457536"/>
        <c:scaling>
          <c:orientation val="minMax"/>
          <c:min val="7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456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93132108486439E-2"/>
          <c:y val="4.4057617797775277E-2"/>
          <c:w val="0.88478273549139685"/>
          <c:h val="0.557106299212598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 2013г. </c:v>
                </c:pt>
              </c:strCache>
            </c:strRef>
          </c:tx>
          <c:spPr>
            <a:pattFill prst="ltVert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Лист1!$A$2:$A$4</c:f>
              <c:strCache>
                <c:ptCount val="3"/>
                <c:pt idx="0">
                  <c:v>Только госсударственные заказчики</c:v>
                </c:pt>
                <c:pt idx="1">
                  <c:v>Только частные заказчики</c:v>
                </c:pt>
                <c:pt idx="2">
                  <c:v>Государственные,  муниципальные и частные заказчики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35</c:v>
                </c:pt>
                <c:pt idx="2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организаций 2014г.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Только госсударственные заказчики</c:v>
                </c:pt>
                <c:pt idx="1">
                  <c:v>Только частные заказчики</c:v>
                </c:pt>
                <c:pt idx="2">
                  <c:v>Государственные,  муниципальные и частные заказчики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29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382080"/>
        <c:axId val="66708224"/>
        <c:axId val="0"/>
      </c:bar3DChart>
      <c:catAx>
        <c:axId val="6638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66708224"/>
        <c:crosses val="autoZero"/>
        <c:auto val="1"/>
        <c:lblAlgn val="ctr"/>
        <c:lblOffset val="100"/>
        <c:noMultiLvlLbl val="0"/>
      </c:catAx>
      <c:valAx>
        <c:axId val="6670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382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125109361329829"/>
          <c:y val="0.81729565054368203"/>
          <c:w val="0.29009149897929426"/>
          <c:h val="0.1827043494563179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263392035212562"/>
          <c:y val="2.2633744855967079E-2"/>
          <c:w val="0.41241499788056674"/>
          <c:h val="0.925819642915005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 организаций, специализирующихся в том числе и на указанных объектах</c:v>
                </c:pt>
              </c:strCache>
            </c:strRef>
          </c:tx>
          <c:invertIfNegative val="0"/>
          <c:cat>
            <c:strRef>
              <c:f>Лист1!$B$1:$AC$1</c:f>
              <c:strCache>
                <c:ptCount val="28"/>
                <c:pt idx="0">
                  <c:v>Благоустройство
 территории</c:v>
                </c:pt>
                <c:pt idx="1">
                  <c:v>Быстровозводимые здания
и сооружения</c:v>
                </c:pt>
                <c:pt idx="2">
                  <c:v>Гидротехнические
 и мелиоративные сооружения</c:v>
                </c:pt>
                <c:pt idx="3">
                  <c:v>Градостроительные 
проекты</c:v>
                </c:pt>
                <c:pt idx="4">
                  <c:v>Жилые и 
общественные здания</c:v>
                </c:pt>
                <c:pt idx="5">
                  <c:v>Защитные сооружения 
объектов гражданской
 обороны</c:v>
                </c:pt>
                <c:pt idx="6">
                  <c:v>Инженерные
 сети и системы</c:v>
                </c:pt>
                <c:pt idx="7">
                  <c:v>Интерьеры</c:v>
                </c:pt>
                <c:pt idx="8">
                  <c:v>Малоэтажное
строительство</c:v>
                </c:pt>
                <c:pt idx="9">
                  <c:v>Общественные здания</c:v>
                </c:pt>
                <c:pt idx="10">
                  <c:v>Системы жизнеобеспечения маломобильных групп населения</c:v>
                </c:pt>
                <c:pt idx="11">
                  <c:v>Спортивные объекты</c:v>
                </c:pt>
                <c:pt idx="12">
                  <c:v>Производственные
 объекты</c:v>
                </c:pt>
                <c:pt idx="13">
                  <c:v>Объекты медицинского назначения</c:v>
                </c:pt>
                <c:pt idx="14">
                  <c:v>Объекты и сооружения
 сельскохозяйственного
 назначения</c:v>
                </c:pt>
                <c:pt idx="15">
                  <c:v>Объекты и сооружения
 пищевого и продовольственного
 назначения</c:v>
                </c:pt>
                <c:pt idx="16">
                  <c:v>Объекты
 гидроэнергетики</c:v>
                </c:pt>
                <c:pt idx="17">
                  <c:v>Объекты 
теплоэнергетики</c:v>
                </c:pt>
                <c:pt idx="18">
                  <c:v>Объекты атомной энергии</c:v>
                </c:pt>
                <c:pt idx="19">
                  <c:v>Объекты газодобычи
 и переработки</c:v>
                </c:pt>
                <c:pt idx="20">
                  <c:v>Объекты
 нефтедобычи
 и переработки</c:v>
                </c:pt>
                <c:pt idx="21">
                  <c:v>Железнодорожные
 транспортные комплексы
 и сооружения</c:v>
                </c:pt>
                <c:pt idx="22">
                  <c:v>Авиационные транспортные
 комплексы и сооружения</c:v>
                </c:pt>
                <c:pt idx="23">
                  <c:v>Автомобильные
 транспортные
 комплексы и сооружения</c:v>
                </c:pt>
                <c:pt idx="24">
                  <c:v>Водного транспорта
 комплексы и сооружения</c:v>
                </c:pt>
                <c:pt idx="25">
                  <c:v>Слаботочные системы,
 диспетчеризация
 и автоматизация</c:v>
                </c:pt>
                <c:pt idx="26">
                  <c:v>Системы
 пожарной безопасности</c:v>
                </c:pt>
                <c:pt idx="27">
                  <c:v>Экология и охрана
 окружающей среды</c:v>
                </c:pt>
              </c:strCache>
            </c:strRef>
          </c:cat>
          <c:val>
            <c:numRef>
              <c:f>Лист1!$B$2:$AC$2</c:f>
              <c:numCache>
                <c:formatCode>General</c:formatCode>
                <c:ptCount val="28"/>
                <c:pt idx="0">
                  <c:v>35</c:v>
                </c:pt>
                <c:pt idx="1">
                  <c:v>25</c:v>
                </c:pt>
                <c:pt idx="2">
                  <c:v>2</c:v>
                </c:pt>
                <c:pt idx="3">
                  <c:v>19</c:v>
                </c:pt>
                <c:pt idx="4">
                  <c:v>51</c:v>
                </c:pt>
                <c:pt idx="5">
                  <c:v>4</c:v>
                </c:pt>
                <c:pt idx="6">
                  <c:v>57</c:v>
                </c:pt>
                <c:pt idx="7">
                  <c:v>17</c:v>
                </c:pt>
                <c:pt idx="8">
                  <c:v>42</c:v>
                </c:pt>
                <c:pt idx="9">
                  <c:v>44</c:v>
                </c:pt>
                <c:pt idx="10">
                  <c:v>21</c:v>
                </c:pt>
                <c:pt idx="11">
                  <c:v>21</c:v>
                </c:pt>
                <c:pt idx="12">
                  <c:v>37</c:v>
                </c:pt>
                <c:pt idx="13">
                  <c:v>26</c:v>
                </c:pt>
                <c:pt idx="14">
                  <c:v>18</c:v>
                </c:pt>
                <c:pt idx="15">
                  <c:v>19</c:v>
                </c:pt>
                <c:pt idx="16">
                  <c:v>1</c:v>
                </c:pt>
                <c:pt idx="17">
                  <c:v>15</c:v>
                </c:pt>
                <c:pt idx="18">
                  <c:v>0</c:v>
                </c:pt>
                <c:pt idx="19">
                  <c:v>2</c:v>
                </c:pt>
                <c:pt idx="20">
                  <c:v>4</c:v>
                </c:pt>
                <c:pt idx="21">
                  <c:v>4</c:v>
                </c:pt>
                <c:pt idx="22">
                  <c:v>3</c:v>
                </c:pt>
                <c:pt idx="23">
                  <c:v>14</c:v>
                </c:pt>
                <c:pt idx="24">
                  <c:v>5</c:v>
                </c:pt>
                <c:pt idx="25">
                  <c:v>34</c:v>
                </c:pt>
                <c:pt idx="26">
                  <c:v>34</c:v>
                </c:pt>
                <c:pt idx="27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Кол-во организаций, специализирующихся толькона указанных объектах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Лист1!$B$1:$AC$1</c:f>
              <c:strCache>
                <c:ptCount val="28"/>
                <c:pt idx="0">
                  <c:v>Благоустройство
 территории</c:v>
                </c:pt>
                <c:pt idx="1">
                  <c:v>Быстровозводимые здания
и сооружения</c:v>
                </c:pt>
                <c:pt idx="2">
                  <c:v>Гидротехнические
 и мелиоративные сооружения</c:v>
                </c:pt>
                <c:pt idx="3">
                  <c:v>Градостроительные 
проекты</c:v>
                </c:pt>
                <c:pt idx="4">
                  <c:v>Жилые и 
общественные здания</c:v>
                </c:pt>
                <c:pt idx="5">
                  <c:v>Защитные сооружения 
объектов гражданской
 обороны</c:v>
                </c:pt>
                <c:pt idx="6">
                  <c:v>Инженерные
 сети и системы</c:v>
                </c:pt>
                <c:pt idx="7">
                  <c:v>Интерьеры</c:v>
                </c:pt>
                <c:pt idx="8">
                  <c:v>Малоэтажное
строительство</c:v>
                </c:pt>
                <c:pt idx="9">
                  <c:v>Общественные здания</c:v>
                </c:pt>
                <c:pt idx="10">
                  <c:v>Системы жизнеобеспечения маломобильных групп населения</c:v>
                </c:pt>
                <c:pt idx="11">
                  <c:v>Спортивные объекты</c:v>
                </c:pt>
                <c:pt idx="12">
                  <c:v>Производственные
 объекты</c:v>
                </c:pt>
                <c:pt idx="13">
                  <c:v>Объекты медицинского назначения</c:v>
                </c:pt>
                <c:pt idx="14">
                  <c:v>Объекты и сооружения
 сельскохозяйственного
 назначения</c:v>
                </c:pt>
                <c:pt idx="15">
                  <c:v>Объекты и сооружения
 пищевого и продовольственного
 назначения</c:v>
                </c:pt>
                <c:pt idx="16">
                  <c:v>Объекты
 гидроэнергетики</c:v>
                </c:pt>
                <c:pt idx="17">
                  <c:v>Объекты 
теплоэнергетики</c:v>
                </c:pt>
                <c:pt idx="18">
                  <c:v>Объекты атомной энергии</c:v>
                </c:pt>
                <c:pt idx="19">
                  <c:v>Объекты газодобычи
 и переработки</c:v>
                </c:pt>
                <c:pt idx="20">
                  <c:v>Объекты
 нефтедобычи
 и переработки</c:v>
                </c:pt>
                <c:pt idx="21">
                  <c:v>Железнодорожные
 транспортные комплексы
 и сооружения</c:v>
                </c:pt>
                <c:pt idx="22">
                  <c:v>Авиационные транспортные
 комплексы и сооружения</c:v>
                </c:pt>
                <c:pt idx="23">
                  <c:v>Автомобильные
 транспортные
 комплексы и сооружения</c:v>
                </c:pt>
                <c:pt idx="24">
                  <c:v>Водного транспорта
 комплексы и сооружения</c:v>
                </c:pt>
                <c:pt idx="25">
                  <c:v>Слаботочные системы,
 диспетчеризация
 и автоматизация</c:v>
                </c:pt>
                <c:pt idx="26">
                  <c:v>Системы
 пожарной безопасности</c:v>
                </c:pt>
                <c:pt idx="27">
                  <c:v>Экология и охрана
 окружающей среды</c:v>
                </c:pt>
              </c:strCache>
            </c:strRef>
          </c:cat>
          <c:val>
            <c:numRef>
              <c:f>Лист1!$B$3:$AC$3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12</c:v>
                </c:pt>
                <c:pt idx="26">
                  <c:v>12</c:v>
                </c:pt>
                <c:pt idx="2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18432"/>
        <c:axId val="44819968"/>
      </c:barChart>
      <c:catAx>
        <c:axId val="44818432"/>
        <c:scaling>
          <c:orientation val="minMax"/>
        </c:scaling>
        <c:delete val="0"/>
        <c:axPos val="l"/>
        <c:majorTickMark val="out"/>
        <c:minorTickMark val="none"/>
        <c:tickLblPos val="nextTo"/>
        <c:crossAx val="44819968"/>
        <c:crosses val="autoZero"/>
        <c:auto val="1"/>
        <c:lblAlgn val="ctr"/>
        <c:lblOffset val="100"/>
        <c:noMultiLvlLbl val="0"/>
      </c:catAx>
      <c:valAx>
        <c:axId val="44819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818432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4639589300929554"/>
          <c:y val="0.42587940323249068"/>
          <c:w val="0.24055353602822485"/>
          <c:h val="0.292100842657825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2011г.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до 5 млн. руб.</c:v>
                </c:pt>
                <c:pt idx="1">
                  <c:v>до 25 млн. руб.</c:v>
                </c:pt>
                <c:pt idx="2">
                  <c:v>до 50 млн. руб.</c:v>
                </c:pt>
                <c:pt idx="3">
                  <c:v>до 300 млн. руб.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8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2012г.</c:v>
                </c:pt>
              </c:strCache>
            </c:strRef>
          </c:tx>
          <c:spPr>
            <a:pattFill prst="pct2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Лист1!$A$2:$A$5</c:f>
              <c:strCache>
                <c:ptCount val="4"/>
                <c:pt idx="0">
                  <c:v>до 5 млн. руб.</c:v>
                </c:pt>
                <c:pt idx="1">
                  <c:v>до 25 млн. руб.</c:v>
                </c:pt>
                <c:pt idx="2">
                  <c:v>до 50 млн. руб.</c:v>
                </c:pt>
                <c:pt idx="3">
                  <c:v>до 300 млн. руб.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78</c:v>
                </c:pt>
                <c:pt idx="1">
                  <c:v>12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млн. руб.</c:v>
                </c:pt>
                <c:pt idx="1">
                  <c:v>до 25 млн. руб.</c:v>
                </c:pt>
                <c:pt idx="2">
                  <c:v>до 50 млн. руб.</c:v>
                </c:pt>
                <c:pt idx="3">
                  <c:v>до 300 млн. руб.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18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37408"/>
        <c:axId val="47938944"/>
      </c:barChart>
      <c:catAx>
        <c:axId val="4793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47938944"/>
        <c:crosses val="autoZero"/>
        <c:auto val="1"/>
        <c:lblAlgn val="ctr"/>
        <c:lblOffset val="100"/>
        <c:noMultiLvlLbl val="0"/>
      </c:catAx>
      <c:valAx>
        <c:axId val="4793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937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3AA7-E818-449D-B067-33700FFA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MarchenkoEA</dc:creator>
  <cp:lastModifiedBy>MarchenkoEA</cp:lastModifiedBy>
  <cp:revision>7</cp:revision>
  <cp:lastPrinted>2015-01-30T00:43:00Z</cp:lastPrinted>
  <dcterms:created xsi:type="dcterms:W3CDTF">2015-01-29T02:44:00Z</dcterms:created>
  <dcterms:modified xsi:type="dcterms:W3CDTF">2018-04-11T04:57:00Z</dcterms:modified>
</cp:coreProperties>
</file>