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9E" w:rsidRPr="00C244BC" w:rsidRDefault="00057C9E" w:rsidP="00826A96">
      <w:pPr>
        <w:jc w:val="center"/>
        <w:rPr>
          <w:rFonts w:ascii="Times New Roman" w:eastAsia="Andale Sans UI" w:hAnsi="Times New Roman"/>
          <w:b/>
          <w:kern w:val="1"/>
          <w:lang w:eastAsia="fa-IR" w:bidi="fa-IR"/>
        </w:rPr>
      </w:pPr>
      <w:r w:rsidRPr="00C244BC">
        <w:rPr>
          <w:rFonts w:ascii="Times New Roman" w:eastAsia="Andale Sans UI" w:hAnsi="Times New Roman"/>
          <w:b/>
          <w:kern w:val="1"/>
          <w:lang w:eastAsia="fa-IR" w:bidi="fa-IR"/>
        </w:rPr>
        <w:t>АНАЛИЗ</w:t>
      </w:r>
    </w:p>
    <w:p w:rsidR="00057C9E" w:rsidRPr="00057C9E" w:rsidRDefault="00057C9E" w:rsidP="00826A96">
      <w:pPr>
        <w:widowControl w:val="0"/>
        <w:suppressAutoHyphens/>
        <w:jc w:val="center"/>
        <w:textAlignment w:val="baseline"/>
        <w:rPr>
          <w:rFonts w:ascii="Times New Roman" w:eastAsia="Andale Sans UI" w:hAnsi="Times New Roman"/>
          <w:b/>
          <w:kern w:val="1"/>
          <w:lang w:eastAsia="fa-IR" w:bidi="fa-IR"/>
        </w:rPr>
      </w:pPr>
      <w:r w:rsidRPr="00057C9E">
        <w:rPr>
          <w:rFonts w:ascii="Times New Roman" w:eastAsia="Andale Sans UI" w:hAnsi="Times New Roman"/>
          <w:b/>
          <w:kern w:val="1"/>
          <w:lang w:eastAsia="fa-IR" w:bidi="fa-IR"/>
        </w:rPr>
        <w:t xml:space="preserve">деятельности членов СРО НП </w:t>
      </w:r>
      <w:r w:rsidRPr="00C244BC">
        <w:rPr>
          <w:rFonts w:ascii="Times New Roman" w:eastAsia="Andale Sans UI" w:hAnsi="Times New Roman"/>
          <w:b/>
          <w:kern w:val="1"/>
          <w:lang w:eastAsia="fa-IR" w:bidi="fa-IR"/>
        </w:rPr>
        <w:t>ППК</w:t>
      </w:r>
    </w:p>
    <w:p w:rsidR="00057C9E" w:rsidRPr="00057C9E" w:rsidRDefault="00057C9E" w:rsidP="00826A96">
      <w:pPr>
        <w:widowControl w:val="0"/>
        <w:suppressAutoHyphens/>
        <w:jc w:val="center"/>
        <w:textAlignment w:val="baseline"/>
        <w:rPr>
          <w:rFonts w:ascii="Times New Roman" w:eastAsia="Andale Sans UI" w:hAnsi="Times New Roman"/>
          <w:b/>
          <w:kern w:val="1"/>
          <w:lang w:eastAsia="fa-IR" w:bidi="fa-IR"/>
        </w:rPr>
      </w:pPr>
      <w:r w:rsidRPr="00057C9E">
        <w:rPr>
          <w:rFonts w:ascii="Times New Roman" w:eastAsia="Andale Sans UI" w:hAnsi="Times New Roman"/>
          <w:b/>
          <w:kern w:val="1"/>
          <w:lang w:eastAsia="fa-IR" w:bidi="fa-IR"/>
        </w:rPr>
        <w:t>на основе информации, представленной членами в форме отчетов</w:t>
      </w:r>
    </w:p>
    <w:p w:rsidR="00057C9E" w:rsidRPr="00057C9E" w:rsidRDefault="00057C9E" w:rsidP="00826A96">
      <w:pPr>
        <w:widowControl w:val="0"/>
        <w:suppressAutoHyphens/>
        <w:jc w:val="center"/>
        <w:textAlignment w:val="baseline"/>
        <w:rPr>
          <w:rFonts w:ascii="Times New Roman" w:eastAsia="Andale Sans UI" w:hAnsi="Times New Roman"/>
          <w:kern w:val="1"/>
          <w:lang w:eastAsia="fa-IR" w:bidi="fa-IR"/>
        </w:rPr>
      </w:pPr>
      <w:r w:rsidRPr="00057C9E">
        <w:rPr>
          <w:rFonts w:ascii="Times New Roman" w:eastAsia="Andale Sans UI" w:hAnsi="Times New Roman"/>
          <w:b/>
          <w:kern w:val="1"/>
          <w:lang w:eastAsia="fa-IR" w:bidi="fa-IR"/>
        </w:rPr>
        <w:t>за 201</w:t>
      </w:r>
      <w:r w:rsidR="00523563">
        <w:rPr>
          <w:rFonts w:ascii="Times New Roman" w:eastAsia="Andale Sans UI" w:hAnsi="Times New Roman"/>
          <w:b/>
          <w:kern w:val="1"/>
          <w:lang w:eastAsia="fa-IR" w:bidi="fa-IR"/>
        </w:rPr>
        <w:t>3</w:t>
      </w:r>
      <w:r w:rsidRPr="00057C9E">
        <w:rPr>
          <w:rFonts w:ascii="Times New Roman" w:eastAsia="Andale Sans UI" w:hAnsi="Times New Roman"/>
          <w:b/>
          <w:kern w:val="1"/>
          <w:lang w:eastAsia="fa-IR" w:bidi="fa-IR"/>
        </w:rPr>
        <w:t xml:space="preserve"> год</w:t>
      </w:r>
    </w:p>
    <w:p w:rsidR="00057C9E" w:rsidRPr="00057C9E" w:rsidRDefault="00057C9E" w:rsidP="00826A96">
      <w:pPr>
        <w:widowControl w:val="0"/>
        <w:suppressAutoHyphens/>
        <w:jc w:val="center"/>
        <w:textAlignment w:val="baseline"/>
        <w:rPr>
          <w:rFonts w:ascii="Times New Roman" w:eastAsia="Andale Sans UI" w:hAnsi="Times New Roman"/>
          <w:kern w:val="1"/>
          <w:lang w:eastAsia="fa-IR" w:bidi="fa-IR"/>
        </w:rPr>
      </w:pPr>
    </w:p>
    <w:p w:rsidR="00057C9E" w:rsidRPr="00057C9E" w:rsidRDefault="0098551C" w:rsidP="00826A96">
      <w:pPr>
        <w:widowControl w:val="0"/>
        <w:suppressAutoHyphens/>
        <w:ind w:firstLine="709"/>
        <w:jc w:val="both"/>
        <w:textAlignment w:val="baseline"/>
        <w:rPr>
          <w:rFonts w:ascii="Times New Roman" w:eastAsia="Andale Sans UI" w:hAnsi="Times New Roman"/>
          <w:kern w:val="1"/>
          <w:lang w:eastAsia="fa-IR" w:bidi="fa-IR"/>
        </w:rPr>
      </w:pPr>
      <w:r>
        <w:rPr>
          <w:rFonts w:ascii="Times New Roman" w:eastAsia="Andale Sans UI" w:hAnsi="Times New Roman"/>
          <w:kern w:val="1"/>
          <w:lang w:eastAsia="fa-IR" w:bidi="fa-IR"/>
        </w:rPr>
        <w:t xml:space="preserve"> </w:t>
      </w:r>
      <w:r w:rsidR="00057C9E" w:rsidRPr="00057C9E">
        <w:rPr>
          <w:rFonts w:ascii="Times New Roman" w:eastAsia="Andale Sans UI" w:hAnsi="Times New Roman"/>
          <w:kern w:val="1"/>
          <w:lang w:eastAsia="fa-IR" w:bidi="fa-IR"/>
        </w:rPr>
        <w:t xml:space="preserve">Настоящий анализ деятельности членов СРО НП </w:t>
      </w:r>
      <w:r w:rsidR="00790F68" w:rsidRPr="00C244BC">
        <w:rPr>
          <w:rFonts w:ascii="Times New Roman" w:eastAsia="Andale Sans UI" w:hAnsi="Times New Roman"/>
          <w:kern w:val="1"/>
          <w:lang w:eastAsia="fa-IR" w:bidi="fa-IR"/>
        </w:rPr>
        <w:t>ППК</w:t>
      </w:r>
      <w:r w:rsidR="00057C9E" w:rsidRPr="00057C9E">
        <w:rPr>
          <w:rFonts w:ascii="Times New Roman" w:eastAsia="Andale Sans UI" w:hAnsi="Times New Roman"/>
          <w:kern w:val="1"/>
          <w:lang w:eastAsia="fa-IR" w:bidi="fa-IR"/>
        </w:rPr>
        <w:t xml:space="preserve"> подготовлен в соответствии с пунктом 4 части 1 статьи 6 Федерального закона от 01.12.2007 № 315-ФЗ «О саморегулируемых организациях», пунктом 3.</w:t>
      </w:r>
      <w:r w:rsidR="00790F68" w:rsidRPr="00C244BC">
        <w:rPr>
          <w:rFonts w:ascii="Times New Roman" w:eastAsia="Andale Sans UI" w:hAnsi="Times New Roman"/>
          <w:kern w:val="1"/>
          <w:lang w:eastAsia="fa-IR" w:bidi="fa-IR"/>
        </w:rPr>
        <w:t>4</w:t>
      </w:r>
      <w:r w:rsidR="00057C9E" w:rsidRPr="00057C9E">
        <w:rPr>
          <w:rFonts w:ascii="Times New Roman" w:eastAsia="Andale Sans UI" w:hAnsi="Times New Roman"/>
          <w:kern w:val="1"/>
          <w:lang w:eastAsia="fa-IR" w:bidi="fa-IR"/>
        </w:rPr>
        <w:t xml:space="preserve"> Устава </w:t>
      </w:r>
      <w:r w:rsidR="00790F68" w:rsidRPr="00C244BC">
        <w:rPr>
          <w:rFonts w:ascii="Times New Roman" w:eastAsia="Andale Sans UI" w:hAnsi="Times New Roman"/>
          <w:kern w:val="1"/>
          <w:lang w:eastAsia="fa-IR" w:bidi="fa-IR"/>
        </w:rPr>
        <w:t>Партнерства</w:t>
      </w:r>
      <w:r w:rsidR="00057C9E" w:rsidRPr="00057C9E">
        <w:rPr>
          <w:rFonts w:ascii="Times New Roman" w:eastAsia="Andale Sans UI" w:hAnsi="Times New Roman"/>
          <w:kern w:val="1"/>
          <w:lang w:eastAsia="fa-IR" w:bidi="fa-IR"/>
        </w:rPr>
        <w:t xml:space="preserve"> и </w:t>
      </w:r>
      <w:r w:rsidR="00790F68" w:rsidRPr="00C244BC">
        <w:rPr>
          <w:rFonts w:ascii="Times New Roman" w:eastAsia="Andale Sans UI" w:hAnsi="Times New Roman"/>
          <w:kern w:val="1"/>
          <w:lang w:eastAsia="fa-IR" w:bidi="fa-IR"/>
        </w:rPr>
        <w:t>Правилами контроля в области саморегулирования</w:t>
      </w:r>
      <w:r w:rsidR="00057C9E" w:rsidRPr="00057C9E">
        <w:rPr>
          <w:rFonts w:ascii="Times New Roman" w:eastAsia="Andale Sans UI" w:hAnsi="Times New Roman"/>
          <w:kern w:val="1"/>
          <w:lang w:eastAsia="fa-IR" w:bidi="fa-IR"/>
        </w:rPr>
        <w:t xml:space="preserve"> на основании информации, представляемой членами в форме отчетов</w:t>
      </w:r>
      <w:r w:rsidR="002A1A30">
        <w:rPr>
          <w:rFonts w:ascii="Times New Roman" w:eastAsia="Andale Sans UI" w:hAnsi="Times New Roman"/>
          <w:kern w:val="1"/>
          <w:lang w:eastAsia="fa-IR" w:bidi="fa-IR"/>
        </w:rPr>
        <w:t xml:space="preserve"> о деятельности</w:t>
      </w:r>
      <w:r w:rsidR="00790F68" w:rsidRPr="00C244BC">
        <w:rPr>
          <w:rFonts w:ascii="Times New Roman" w:eastAsia="Andale Sans UI" w:hAnsi="Times New Roman"/>
          <w:kern w:val="1"/>
          <w:lang w:eastAsia="fa-IR" w:bidi="fa-IR"/>
        </w:rPr>
        <w:t>.</w:t>
      </w:r>
    </w:p>
    <w:p w:rsidR="00057C9E" w:rsidRPr="00C244BC" w:rsidRDefault="00057C9E" w:rsidP="00826A96">
      <w:pPr>
        <w:ind w:firstLine="709"/>
        <w:jc w:val="both"/>
        <w:rPr>
          <w:rFonts w:ascii="Times New Roman" w:hAnsi="Times New Roman"/>
        </w:rPr>
      </w:pPr>
    </w:p>
    <w:p w:rsidR="00A52D03" w:rsidRDefault="00A52D03" w:rsidP="00826A96">
      <w:pPr>
        <w:ind w:left="-426" w:firstLine="709"/>
        <w:jc w:val="both"/>
        <w:rPr>
          <w:rFonts w:ascii="Times New Roman" w:hAnsi="Times New Roman"/>
        </w:rPr>
      </w:pPr>
      <w:r w:rsidRPr="00A52D03">
        <w:rPr>
          <w:rFonts w:ascii="Times New Roman" w:hAnsi="Times New Roman"/>
        </w:rPr>
        <w:t>На 1 января 201</w:t>
      </w:r>
      <w:r>
        <w:rPr>
          <w:rFonts w:ascii="Times New Roman" w:hAnsi="Times New Roman"/>
        </w:rPr>
        <w:t>4</w:t>
      </w:r>
      <w:r w:rsidRPr="00A52D03">
        <w:rPr>
          <w:rFonts w:ascii="Times New Roman" w:hAnsi="Times New Roman"/>
        </w:rPr>
        <w:t xml:space="preserve"> года в составе членов Партнерства </w:t>
      </w:r>
      <w:r>
        <w:rPr>
          <w:rFonts w:ascii="Times New Roman" w:hAnsi="Times New Roman"/>
        </w:rPr>
        <w:t>100</w:t>
      </w:r>
      <w:r w:rsidRPr="00A52D03">
        <w:rPr>
          <w:rFonts w:ascii="Times New Roman" w:hAnsi="Times New Roman"/>
        </w:rPr>
        <w:t xml:space="preserve"> предприяти</w:t>
      </w:r>
      <w:r>
        <w:rPr>
          <w:rFonts w:ascii="Times New Roman" w:hAnsi="Times New Roman"/>
        </w:rPr>
        <w:t>й</w:t>
      </w:r>
      <w:r w:rsidRPr="00A52D03">
        <w:rPr>
          <w:rFonts w:ascii="Times New Roman" w:hAnsi="Times New Roman"/>
        </w:rPr>
        <w:t xml:space="preserve"> проектной отрасли</w:t>
      </w:r>
      <w:r>
        <w:rPr>
          <w:rFonts w:ascii="Times New Roman" w:hAnsi="Times New Roman"/>
        </w:rPr>
        <w:t xml:space="preserve">. </w:t>
      </w:r>
      <w:r w:rsidRPr="00A52D03">
        <w:rPr>
          <w:rFonts w:ascii="Times New Roman" w:hAnsi="Times New Roman"/>
        </w:rPr>
        <w:t xml:space="preserve">За </w:t>
      </w:r>
      <w:r>
        <w:rPr>
          <w:rFonts w:ascii="Times New Roman" w:hAnsi="Times New Roman"/>
        </w:rPr>
        <w:t>2013г.</w:t>
      </w:r>
      <w:r w:rsidRPr="00A52D03">
        <w:rPr>
          <w:rFonts w:ascii="Times New Roman" w:hAnsi="Times New Roman"/>
        </w:rPr>
        <w:t xml:space="preserve"> в Партнерство были приняты </w:t>
      </w:r>
      <w:r>
        <w:rPr>
          <w:rFonts w:ascii="Times New Roman" w:hAnsi="Times New Roman"/>
        </w:rPr>
        <w:t>7</w:t>
      </w:r>
      <w:r w:rsidRPr="00A52D03">
        <w:rPr>
          <w:rFonts w:ascii="Times New Roman" w:hAnsi="Times New Roman"/>
        </w:rPr>
        <w:t xml:space="preserve"> предприятий</w:t>
      </w:r>
      <w:r>
        <w:rPr>
          <w:rFonts w:ascii="Times New Roman" w:hAnsi="Times New Roman"/>
        </w:rPr>
        <w:t xml:space="preserve">. </w:t>
      </w:r>
    </w:p>
    <w:p w:rsidR="00A52D03" w:rsidRPr="00A52D03" w:rsidRDefault="00A52D03" w:rsidP="00826A96">
      <w:pPr>
        <w:ind w:left="-426" w:firstLine="709"/>
        <w:jc w:val="both"/>
        <w:rPr>
          <w:rFonts w:ascii="Times New Roman" w:hAnsi="Times New Roman"/>
        </w:rPr>
      </w:pPr>
      <w:r w:rsidRPr="00A52D03">
        <w:rPr>
          <w:rFonts w:ascii="Times New Roman" w:hAnsi="Times New Roman"/>
        </w:rPr>
        <w:t xml:space="preserve">За этот же период </w:t>
      </w:r>
      <w:r>
        <w:rPr>
          <w:rFonts w:ascii="Times New Roman" w:hAnsi="Times New Roman"/>
        </w:rPr>
        <w:t>6</w:t>
      </w:r>
      <w:r w:rsidRPr="00A52D03">
        <w:rPr>
          <w:rFonts w:ascii="Times New Roman" w:hAnsi="Times New Roman"/>
        </w:rPr>
        <w:t xml:space="preserve"> компаний прекратили членство в Партнерстве, из них:</w:t>
      </w:r>
    </w:p>
    <w:p w:rsidR="00A52D03" w:rsidRPr="00A52D03" w:rsidRDefault="00A52D03" w:rsidP="00826A96">
      <w:pPr>
        <w:ind w:left="-426" w:firstLine="709"/>
        <w:jc w:val="both"/>
        <w:rPr>
          <w:rFonts w:ascii="Times New Roman" w:hAnsi="Times New Roman"/>
        </w:rPr>
      </w:pPr>
      <w:r w:rsidRPr="00A52D03">
        <w:rPr>
          <w:rFonts w:ascii="Times New Roman" w:hAnsi="Times New Roman"/>
        </w:rPr>
        <w:t>- 2 организации по заявлению о добровольном выходе:</w:t>
      </w:r>
      <w:r w:rsidRPr="00A52D03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A52D03">
        <w:rPr>
          <w:rFonts w:ascii="Times New Roman" w:hAnsi="Times New Roman"/>
        </w:rPr>
        <w:t>ООО "</w:t>
      </w:r>
      <w:proofErr w:type="spellStart"/>
      <w:r w:rsidRPr="00A52D03">
        <w:rPr>
          <w:rFonts w:ascii="Times New Roman" w:hAnsi="Times New Roman"/>
        </w:rPr>
        <w:t>РосВостокПроект</w:t>
      </w:r>
      <w:proofErr w:type="spellEnd"/>
      <w:r w:rsidRPr="00A52D03">
        <w:rPr>
          <w:rFonts w:ascii="Times New Roman" w:hAnsi="Times New Roman"/>
        </w:rPr>
        <w:t>", ООО "Л-Арт-студия" (в связи с изменением сферы деятельности);</w:t>
      </w:r>
    </w:p>
    <w:p w:rsidR="00A52D03" w:rsidRPr="00A52D03" w:rsidRDefault="00A52D03" w:rsidP="00826A96">
      <w:pPr>
        <w:ind w:left="-426" w:firstLine="709"/>
        <w:jc w:val="both"/>
        <w:rPr>
          <w:rFonts w:ascii="Times New Roman" w:hAnsi="Times New Roman"/>
        </w:rPr>
      </w:pPr>
      <w:r w:rsidRPr="00A52D03">
        <w:rPr>
          <w:rFonts w:ascii="Times New Roman" w:hAnsi="Times New Roman"/>
        </w:rPr>
        <w:t>- 3 организации исключены решением Совета Партнерства: ООО "РЭС-1", ООО "Альтаир-ДВ", ООО "</w:t>
      </w:r>
      <w:proofErr w:type="spellStart"/>
      <w:r w:rsidRPr="00A52D03">
        <w:rPr>
          <w:rFonts w:ascii="Times New Roman" w:hAnsi="Times New Roman"/>
        </w:rPr>
        <w:t>Дальморпроект</w:t>
      </w:r>
      <w:proofErr w:type="spellEnd"/>
      <w:r w:rsidRPr="00A52D03">
        <w:rPr>
          <w:rFonts w:ascii="Times New Roman" w:hAnsi="Times New Roman"/>
        </w:rPr>
        <w:t>" (за нарушение условий членства и несоблюдение Требований к выдаче свидетельства о допуске к определенному виду или видам работ, которые оказывают влияние на безопасность объектов капитального строительства.)</w:t>
      </w:r>
    </w:p>
    <w:p w:rsidR="00912842" w:rsidRPr="00912842" w:rsidRDefault="00912842" w:rsidP="00826A96">
      <w:pPr>
        <w:ind w:firstLine="709"/>
        <w:jc w:val="both"/>
        <w:rPr>
          <w:rFonts w:ascii="Times New Roman" w:hAnsi="Times New Roman"/>
        </w:rPr>
      </w:pPr>
      <w:r w:rsidRPr="00912842">
        <w:rPr>
          <w:rFonts w:ascii="Times New Roman" w:hAnsi="Times New Roman"/>
        </w:rPr>
        <w:t xml:space="preserve"> </w:t>
      </w:r>
    </w:p>
    <w:p w:rsidR="00A5659F" w:rsidRPr="00C244BC" w:rsidRDefault="00A5659F" w:rsidP="00826A96">
      <w:pPr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Как видно из диаграммы в</w:t>
      </w:r>
      <w:r>
        <w:rPr>
          <w:rFonts w:ascii="Times New Roman" w:eastAsia="Times New Roman" w:hAnsi="Times New Roman"/>
          <w:bCs/>
          <w:lang w:eastAsia="ru-RU"/>
        </w:rPr>
        <w:t xml:space="preserve"> б</w:t>
      </w:r>
      <w:r w:rsidRPr="00C244BC">
        <w:rPr>
          <w:rFonts w:ascii="Times New Roman" w:hAnsi="Times New Roman"/>
        </w:rPr>
        <w:t>ольшинстве организаций</w:t>
      </w:r>
      <w:r>
        <w:rPr>
          <w:rFonts w:ascii="Times New Roman" w:eastAsia="Times New Roman" w:hAnsi="Times New Roman"/>
          <w:bCs/>
          <w:lang w:eastAsia="ru-RU"/>
        </w:rPr>
        <w:t xml:space="preserve"> </w:t>
      </w:r>
      <w:proofErr w:type="gramStart"/>
      <w:r w:rsidR="001D2FAC">
        <w:rPr>
          <w:rFonts w:ascii="Times New Roman" w:eastAsia="Times New Roman" w:hAnsi="Times New Roman"/>
          <w:bCs/>
          <w:lang w:eastAsia="ru-RU"/>
        </w:rPr>
        <w:t>по прежнему</w:t>
      </w:r>
      <w:proofErr w:type="gramEnd"/>
      <w:r w:rsidR="001D2FAC">
        <w:rPr>
          <w:rFonts w:ascii="Times New Roman" w:eastAsia="Times New Roman" w:hAnsi="Times New Roman"/>
          <w:bCs/>
          <w:lang w:eastAsia="ru-RU"/>
        </w:rPr>
        <w:t xml:space="preserve"> </w:t>
      </w:r>
      <w:r>
        <w:rPr>
          <w:rFonts w:ascii="Times New Roman" w:eastAsia="Times New Roman" w:hAnsi="Times New Roman"/>
          <w:bCs/>
          <w:lang w:eastAsia="ru-RU"/>
        </w:rPr>
        <w:t>о</w:t>
      </w:r>
      <w:r w:rsidRPr="00C244BC">
        <w:rPr>
          <w:rFonts w:ascii="Times New Roman" w:hAnsi="Times New Roman"/>
        </w:rPr>
        <w:t>бщее количество работников, занятых подготовкой проектной  документации, согласно представленной информации</w:t>
      </w:r>
      <w:r w:rsidRPr="00493227">
        <w:t xml:space="preserve"> </w:t>
      </w:r>
      <w:r w:rsidRPr="00493227">
        <w:rPr>
          <w:rFonts w:ascii="Times New Roman" w:hAnsi="Times New Roman"/>
        </w:rPr>
        <w:t>около 10 специалистов</w:t>
      </w:r>
      <w:r w:rsidRPr="00C244BC">
        <w:rPr>
          <w:rFonts w:ascii="Times New Roman" w:hAnsi="Times New Roman"/>
        </w:rPr>
        <w:t>.</w:t>
      </w:r>
      <w:r w:rsidR="001D2FAC">
        <w:rPr>
          <w:rFonts w:ascii="Times New Roman" w:hAnsi="Times New Roman"/>
        </w:rPr>
        <w:t xml:space="preserve"> При этом увеличилось максимальное количество специалистов-проектировщиков в одной организации до 70 человек, по сравнению с предыдущими годами, где эта цифра составляла: 2010г.-21 человек, 2011г.-18 человек, 2012г.-28 человек.</w:t>
      </w:r>
      <w:r>
        <w:rPr>
          <w:rFonts w:ascii="Times New Roman" w:hAnsi="Times New Roman"/>
        </w:rPr>
        <w:t xml:space="preserve">  </w:t>
      </w:r>
    </w:p>
    <w:p w:rsidR="00912842" w:rsidRDefault="00912842" w:rsidP="00826A96">
      <w:pPr>
        <w:jc w:val="both"/>
        <w:rPr>
          <w:rFonts w:ascii="Times New Roman" w:hAnsi="Times New Roman"/>
        </w:rPr>
      </w:pPr>
    </w:p>
    <w:p w:rsidR="00746AF4" w:rsidRDefault="00746AF4" w:rsidP="00826A96">
      <w:pPr>
        <w:jc w:val="both"/>
        <w:rPr>
          <w:rFonts w:ascii="Times New Roman" w:hAnsi="Times New Roman"/>
        </w:rPr>
      </w:pPr>
    </w:p>
    <w:p w:rsidR="00912842" w:rsidRDefault="00A5659F" w:rsidP="00826A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00AD76E4" wp14:editId="19B6AE85">
            <wp:extent cx="5448300" cy="35337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95E2A" w:rsidRPr="00C244BC" w:rsidRDefault="00695E2A" w:rsidP="00826A96">
      <w:pPr>
        <w:rPr>
          <w:rFonts w:ascii="Times New Roman" w:hAnsi="Times New Roman"/>
          <w:color w:val="FF0000"/>
        </w:rPr>
      </w:pPr>
    </w:p>
    <w:p w:rsidR="00826A96" w:rsidRDefault="00A5659F" w:rsidP="00826A9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. </w:t>
      </w:r>
    </w:p>
    <w:p w:rsidR="00695E2A" w:rsidRDefault="00A5659F" w:rsidP="00826A9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Динамика изменений </w:t>
      </w:r>
      <w:r w:rsidR="001D2FAC">
        <w:rPr>
          <w:rFonts w:ascii="Times New Roman" w:hAnsi="Times New Roman"/>
        </w:rPr>
        <w:t xml:space="preserve">общее количество специалистов </w:t>
      </w:r>
      <w:r w:rsidR="001D2FAC" w:rsidRPr="00A5659F">
        <w:rPr>
          <w:rFonts w:ascii="Times New Roman" w:hAnsi="Times New Roman"/>
        </w:rPr>
        <w:t>заявленных на выполнение проектных работ</w:t>
      </w:r>
      <w:r w:rsidR="001D2FAC">
        <w:rPr>
          <w:rFonts w:ascii="Times New Roman" w:hAnsi="Times New Roman"/>
        </w:rPr>
        <w:t xml:space="preserve"> всех членов СРО НП ППК</w:t>
      </w:r>
      <w:r w:rsidR="001D2FAC" w:rsidRPr="00C244BC">
        <w:rPr>
          <w:rFonts w:ascii="Times New Roman" w:hAnsi="Times New Roman"/>
        </w:rPr>
        <w:t xml:space="preserve"> </w:t>
      </w:r>
      <w:r w:rsidRPr="00C244BC">
        <w:rPr>
          <w:rFonts w:ascii="Times New Roman" w:hAnsi="Times New Roman"/>
        </w:rPr>
        <w:t>видн</w:t>
      </w:r>
      <w:r>
        <w:rPr>
          <w:rFonts w:ascii="Times New Roman" w:hAnsi="Times New Roman"/>
        </w:rPr>
        <w:t xml:space="preserve">а на </w:t>
      </w:r>
      <w:r w:rsidRPr="00C244BC">
        <w:rPr>
          <w:rFonts w:ascii="Times New Roman" w:hAnsi="Times New Roman"/>
        </w:rPr>
        <w:t>диаграмм</w:t>
      </w:r>
      <w:r>
        <w:rPr>
          <w:rFonts w:ascii="Times New Roman" w:hAnsi="Times New Roman"/>
        </w:rPr>
        <w:t>е.</w:t>
      </w:r>
    </w:p>
    <w:p w:rsidR="00A5659F" w:rsidRDefault="00A5659F" w:rsidP="00826A96">
      <w:pPr>
        <w:rPr>
          <w:rFonts w:ascii="Times New Roman" w:hAnsi="Times New Roman"/>
        </w:rPr>
      </w:pPr>
    </w:p>
    <w:p w:rsidR="00A5659F" w:rsidRPr="00C244BC" w:rsidRDefault="00A5659F" w:rsidP="00826A9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1051E5CF" wp14:editId="30E9EBBD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51000" w:rsidRDefault="00951000" w:rsidP="00826A96">
      <w:pPr>
        <w:jc w:val="both"/>
        <w:rPr>
          <w:rFonts w:ascii="Times New Roman" w:hAnsi="Times New Roman"/>
        </w:rPr>
      </w:pPr>
    </w:p>
    <w:p w:rsidR="008B4A5D" w:rsidRDefault="002A7098" w:rsidP="00826A9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Члены Партнерства в своей работе используют как общую систему налогообложения, так упрощенную, 52% и 48% соответственно.</w:t>
      </w:r>
    </w:p>
    <w:p w:rsidR="008B4A5D" w:rsidRDefault="002A7098" w:rsidP="00826A96">
      <w:pPr>
        <w:ind w:firstLine="709"/>
        <w:jc w:val="both"/>
        <w:rPr>
          <w:rFonts w:ascii="Times New Roman" w:hAnsi="Times New Roman"/>
        </w:rPr>
      </w:pPr>
      <w:r w:rsidRPr="002A7098">
        <w:rPr>
          <w:rFonts w:ascii="Times New Roman" w:hAnsi="Times New Roman"/>
        </w:rPr>
        <w:t>Партнерств</w:t>
      </w:r>
      <w:r>
        <w:rPr>
          <w:rFonts w:ascii="Times New Roman" w:hAnsi="Times New Roman"/>
        </w:rPr>
        <w:t xml:space="preserve">о объединяет </w:t>
      </w:r>
      <w:r w:rsidRPr="002A7098">
        <w:rPr>
          <w:rFonts w:ascii="Times New Roman" w:hAnsi="Times New Roman"/>
        </w:rPr>
        <w:t xml:space="preserve"> предприяти</w:t>
      </w:r>
      <w:r>
        <w:rPr>
          <w:rFonts w:ascii="Times New Roman" w:hAnsi="Times New Roman"/>
        </w:rPr>
        <w:t>я</w:t>
      </w:r>
      <w:r w:rsidRPr="002A7098">
        <w:rPr>
          <w:rFonts w:ascii="Times New Roman" w:hAnsi="Times New Roman"/>
        </w:rPr>
        <w:t>, занятых в проектной сфере, в том числе строительных компаний, имеющих в своей структуре отделы по проектированию</w:t>
      </w:r>
      <w:r w:rsidR="00F0704C">
        <w:rPr>
          <w:rFonts w:ascii="Times New Roman" w:hAnsi="Times New Roman"/>
        </w:rPr>
        <w:t>.</w:t>
      </w:r>
    </w:p>
    <w:p w:rsidR="00F0704C" w:rsidRDefault="00F0704C" w:rsidP="00826A96">
      <w:pPr>
        <w:ind w:firstLine="709"/>
        <w:jc w:val="both"/>
        <w:rPr>
          <w:rFonts w:ascii="Times New Roman" w:hAnsi="Times New Roman"/>
        </w:rPr>
      </w:pPr>
    </w:p>
    <w:p w:rsidR="001C26BB" w:rsidRDefault="00F0704C" w:rsidP="00826A9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Распределение организаций по с</w:t>
      </w:r>
      <w:r w:rsidRPr="00F0704C">
        <w:rPr>
          <w:rFonts w:ascii="Times New Roman" w:hAnsi="Times New Roman"/>
        </w:rPr>
        <w:t>татус</w:t>
      </w:r>
      <w:r>
        <w:rPr>
          <w:rFonts w:ascii="Times New Roman" w:hAnsi="Times New Roman"/>
        </w:rPr>
        <w:t>у</w:t>
      </w:r>
      <w:r w:rsidRPr="00F0704C">
        <w:rPr>
          <w:rFonts w:ascii="Times New Roman" w:hAnsi="Times New Roman"/>
        </w:rPr>
        <w:t xml:space="preserve"> заказчиков (государственные,  муниципальные, частные)</w:t>
      </w:r>
      <w:r>
        <w:rPr>
          <w:rFonts w:ascii="Times New Roman" w:hAnsi="Times New Roman"/>
        </w:rPr>
        <w:t xml:space="preserve"> показано на диаграмме</w:t>
      </w:r>
      <w:r w:rsidR="001C26BB">
        <w:rPr>
          <w:rFonts w:ascii="Times New Roman" w:hAnsi="Times New Roman"/>
        </w:rPr>
        <w:t>.</w:t>
      </w:r>
      <w:r w:rsidR="001C26BB" w:rsidRPr="001C26BB">
        <w:rPr>
          <w:rFonts w:ascii="Times New Roman" w:hAnsi="Times New Roman"/>
        </w:rPr>
        <w:t xml:space="preserve"> </w:t>
      </w:r>
    </w:p>
    <w:p w:rsidR="00F0704C" w:rsidRDefault="00F0704C" w:rsidP="00826A96">
      <w:pPr>
        <w:rPr>
          <w:rFonts w:ascii="Times New Roman" w:hAnsi="Times New Roman"/>
        </w:rPr>
      </w:pPr>
    </w:p>
    <w:p w:rsidR="00F0704C" w:rsidRDefault="00F0704C" w:rsidP="00826A9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19056FF7" wp14:editId="00A51EB4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26A96" w:rsidRDefault="00826A96" w:rsidP="00826A96">
      <w:pPr>
        <w:ind w:firstLine="709"/>
        <w:rPr>
          <w:rFonts w:ascii="Times New Roman" w:hAnsi="Times New Roman"/>
        </w:rPr>
      </w:pPr>
    </w:p>
    <w:p w:rsidR="00F0704C" w:rsidRDefault="001C26BB" w:rsidP="00826A96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Из чего следует, что 6  членов СРО НП ППК работает только с государственными и 35 только с частными заказчиками. Остальная часть организаций имеет различный статус своих заказчиков.</w:t>
      </w:r>
    </w:p>
    <w:p w:rsidR="008B4A5D" w:rsidRDefault="008B4A5D" w:rsidP="00826A96">
      <w:pPr>
        <w:ind w:firstLine="709"/>
        <w:rPr>
          <w:rFonts w:ascii="Times New Roman" w:hAnsi="Times New Roman"/>
        </w:rPr>
      </w:pPr>
    </w:p>
    <w:p w:rsidR="008B4A5D" w:rsidRDefault="001C26BB" w:rsidP="00826A9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Большая часть компаний, входящих в состав Партнерства, специализируется на </w:t>
      </w:r>
      <w:r w:rsidR="003C369F">
        <w:rPr>
          <w:rFonts w:ascii="Times New Roman" w:hAnsi="Times New Roman"/>
        </w:rPr>
        <w:t xml:space="preserve">совокупности различных </w:t>
      </w:r>
      <w:r w:rsidRPr="001C26BB">
        <w:rPr>
          <w:rFonts w:ascii="Times New Roman" w:hAnsi="Times New Roman"/>
        </w:rPr>
        <w:t>нап</w:t>
      </w:r>
      <w:r>
        <w:rPr>
          <w:rFonts w:ascii="Times New Roman" w:hAnsi="Times New Roman"/>
        </w:rPr>
        <w:t xml:space="preserve">равлений проектной деятельности. Но есть и </w:t>
      </w:r>
      <w:r w:rsidR="00C03ED8">
        <w:rPr>
          <w:rFonts w:ascii="Times New Roman" w:hAnsi="Times New Roman"/>
        </w:rPr>
        <w:lastRenderedPageBreak/>
        <w:t xml:space="preserve">узкоспециализированные организации, в основном занимающиеся </w:t>
      </w:r>
      <w:r>
        <w:rPr>
          <w:rFonts w:ascii="Times New Roman" w:hAnsi="Times New Roman"/>
        </w:rPr>
        <w:t xml:space="preserve"> </w:t>
      </w:r>
      <w:r w:rsidR="00C03ED8">
        <w:rPr>
          <w:rFonts w:ascii="Times New Roman" w:hAnsi="Times New Roman"/>
        </w:rPr>
        <w:t>инженерными сетями и системами, слаботочными системами</w:t>
      </w:r>
      <w:r w:rsidR="00C03ED8" w:rsidRPr="00C03ED8">
        <w:rPr>
          <w:rFonts w:ascii="Times New Roman" w:hAnsi="Times New Roman"/>
        </w:rPr>
        <w:t>,</w:t>
      </w:r>
      <w:r w:rsidR="00C03ED8">
        <w:rPr>
          <w:rFonts w:ascii="Times New Roman" w:hAnsi="Times New Roman"/>
        </w:rPr>
        <w:t xml:space="preserve">  диспетчеризацией, </w:t>
      </w:r>
      <w:r w:rsidR="00C03ED8" w:rsidRPr="00C03ED8">
        <w:rPr>
          <w:rFonts w:ascii="Times New Roman" w:hAnsi="Times New Roman"/>
        </w:rPr>
        <w:t>автоматизаци</w:t>
      </w:r>
      <w:r w:rsidR="00C03ED8">
        <w:rPr>
          <w:rFonts w:ascii="Times New Roman" w:hAnsi="Times New Roman"/>
        </w:rPr>
        <w:t xml:space="preserve">ей и системами </w:t>
      </w:r>
      <w:r w:rsidR="00C03ED8" w:rsidRPr="00C03ED8">
        <w:rPr>
          <w:rFonts w:ascii="Times New Roman" w:hAnsi="Times New Roman"/>
        </w:rPr>
        <w:t xml:space="preserve"> пожарной безопасности</w:t>
      </w:r>
      <w:r w:rsidR="00C03ED8">
        <w:rPr>
          <w:rFonts w:ascii="Times New Roman" w:hAnsi="Times New Roman"/>
        </w:rPr>
        <w:t xml:space="preserve">. </w:t>
      </w:r>
    </w:p>
    <w:p w:rsidR="00C03ED8" w:rsidRDefault="00C03ED8" w:rsidP="00826A96">
      <w:pPr>
        <w:jc w:val="both"/>
        <w:rPr>
          <w:rFonts w:ascii="Times New Roman" w:hAnsi="Times New Roman"/>
          <w:noProof/>
          <w:lang w:eastAsia="ru-RU"/>
        </w:rPr>
      </w:pPr>
    </w:p>
    <w:p w:rsidR="003C369F" w:rsidRDefault="003C369F" w:rsidP="00826A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5997918E" wp14:editId="26B7D296">
            <wp:extent cx="5838825" cy="7086600"/>
            <wp:effectExtent l="0" t="0" r="952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B4A5D" w:rsidRDefault="008B4A5D" w:rsidP="00826A96">
      <w:pPr>
        <w:rPr>
          <w:rFonts w:ascii="Times New Roman" w:hAnsi="Times New Roman"/>
        </w:rPr>
      </w:pPr>
    </w:p>
    <w:p w:rsidR="0069291B" w:rsidRDefault="0069291B" w:rsidP="00826A96">
      <w:pPr>
        <w:ind w:firstLine="709"/>
        <w:jc w:val="both"/>
        <w:rPr>
          <w:rFonts w:ascii="Times New Roman" w:hAnsi="Times New Roman"/>
        </w:rPr>
      </w:pPr>
      <w:r w:rsidRPr="008B4A5D">
        <w:rPr>
          <w:rFonts w:ascii="Times New Roman" w:hAnsi="Times New Roman"/>
        </w:rPr>
        <w:t>У всех членов СРО</w:t>
      </w:r>
      <w:r>
        <w:rPr>
          <w:rFonts w:ascii="Times New Roman" w:hAnsi="Times New Roman"/>
        </w:rPr>
        <w:t xml:space="preserve"> НП ППК</w:t>
      </w:r>
      <w:r w:rsidRPr="008B4A5D">
        <w:rPr>
          <w:rFonts w:ascii="Times New Roman" w:hAnsi="Times New Roman"/>
        </w:rPr>
        <w:t xml:space="preserve"> имеются в наличии договора страхования гражданской ответственности, которая может наступить в случае причинения вреда вследствие недостатков выполненных работ.</w:t>
      </w:r>
    </w:p>
    <w:p w:rsidR="008B4A5D" w:rsidRDefault="008B4A5D" w:rsidP="00826A96">
      <w:pPr>
        <w:rPr>
          <w:rFonts w:ascii="Times New Roman" w:hAnsi="Times New Roman"/>
        </w:rPr>
      </w:pPr>
    </w:p>
    <w:p w:rsidR="0026066E" w:rsidRDefault="0026066E" w:rsidP="00826A96">
      <w:pPr>
        <w:rPr>
          <w:rFonts w:ascii="Times New Roman" w:hAnsi="Times New Roman"/>
        </w:rPr>
      </w:pPr>
      <w:bookmarkStart w:id="0" w:name="_GoBack"/>
      <w:bookmarkEnd w:id="0"/>
    </w:p>
    <w:sectPr w:rsidR="0026066E" w:rsidSect="0026066E">
      <w:footerReference w:type="default" r:id="rId12"/>
      <w:pgSz w:w="11906" w:h="16838"/>
      <w:pgMar w:top="814" w:right="850" w:bottom="1134" w:left="1701" w:header="284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A96" w:rsidRDefault="00826A96" w:rsidP="00826A96">
      <w:r>
        <w:separator/>
      </w:r>
    </w:p>
  </w:endnote>
  <w:endnote w:type="continuationSeparator" w:id="0">
    <w:p w:rsidR="00826A96" w:rsidRDefault="00826A96" w:rsidP="0082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594421"/>
      <w:docPartObj>
        <w:docPartGallery w:val="Page Numbers (Bottom of Page)"/>
        <w:docPartUnique/>
      </w:docPartObj>
    </w:sdtPr>
    <w:sdtEndPr/>
    <w:sdtContent>
      <w:p w:rsidR="0026066E" w:rsidRDefault="0026066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903">
          <w:rPr>
            <w:noProof/>
          </w:rPr>
          <w:t>3</w:t>
        </w:r>
        <w:r>
          <w:fldChar w:fldCharType="end"/>
        </w:r>
      </w:p>
    </w:sdtContent>
  </w:sdt>
  <w:p w:rsidR="0026066E" w:rsidRDefault="0026066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A96" w:rsidRDefault="00826A96" w:rsidP="00826A96">
      <w:r>
        <w:separator/>
      </w:r>
    </w:p>
  </w:footnote>
  <w:footnote w:type="continuationSeparator" w:id="0">
    <w:p w:rsidR="00826A96" w:rsidRDefault="00826A96" w:rsidP="00826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9E"/>
    <w:rsid w:val="00030E37"/>
    <w:rsid w:val="00057C9E"/>
    <w:rsid w:val="00161DEB"/>
    <w:rsid w:val="00185983"/>
    <w:rsid w:val="00196712"/>
    <w:rsid w:val="001C26BB"/>
    <w:rsid w:val="001D2FAC"/>
    <w:rsid w:val="0026066E"/>
    <w:rsid w:val="002759E1"/>
    <w:rsid w:val="00282289"/>
    <w:rsid w:val="002A1A30"/>
    <w:rsid w:val="002A7098"/>
    <w:rsid w:val="003C369F"/>
    <w:rsid w:val="00493227"/>
    <w:rsid w:val="004D07C0"/>
    <w:rsid w:val="00523563"/>
    <w:rsid w:val="005B6903"/>
    <w:rsid w:val="0069291B"/>
    <w:rsid w:val="00695E2A"/>
    <w:rsid w:val="00746AF4"/>
    <w:rsid w:val="00763CF0"/>
    <w:rsid w:val="00790F68"/>
    <w:rsid w:val="00826A96"/>
    <w:rsid w:val="008B4A5D"/>
    <w:rsid w:val="00912842"/>
    <w:rsid w:val="00951000"/>
    <w:rsid w:val="0098551C"/>
    <w:rsid w:val="00A10FCF"/>
    <w:rsid w:val="00A52D03"/>
    <w:rsid w:val="00A5659F"/>
    <w:rsid w:val="00B170BD"/>
    <w:rsid w:val="00BC0F40"/>
    <w:rsid w:val="00BF7B7F"/>
    <w:rsid w:val="00C03ED8"/>
    <w:rsid w:val="00C244BC"/>
    <w:rsid w:val="00C64477"/>
    <w:rsid w:val="00C8055E"/>
    <w:rsid w:val="00DA39EA"/>
    <w:rsid w:val="00DE011D"/>
    <w:rsid w:val="00F0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9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9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983"/>
    <w:rPr>
      <w:rFonts w:ascii="Tahoma" w:eastAsia="Cambri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161DEB"/>
    <w:pPr>
      <w:spacing w:after="200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6A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6A96"/>
    <w:rPr>
      <w:rFonts w:ascii="Cambria" w:eastAsia="Cambria" w:hAnsi="Cambria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26A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6A96"/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9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9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983"/>
    <w:rPr>
      <w:rFonts w:ascii="Tahoma" w:eastAsia="Cambri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161DEB"/>
    <w:pPr>
      <w:spacing w:after="200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6A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6A96"/>
    <w:rPr>
      <w:rFonts w:ascii="Cambria" w:eastAsia="Cambria" w:hAnsi="Cambria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26A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6A96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организаций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До 10 специалистов</c:v>
                </c:pt>
                <c:pt idx="1">
                  <c:v>До 20 специалистов</c:v>
                </c:pt>
                <c:pt idx="2">
                  <c:v>До 40 специалистов</c:v>
                </c:pt>
                <c:pt idx="3">
                  <c:v>Свыше 40 специалистов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61</c:v>
                </c:pt>
                <c:pt idx="1">
                  <c:v>27</c:v>
                </c:pt>
                <c:pt idx="2">
                  <c:v>8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737664"/>
        <c:axId val="44739968"/>
      </c:barChart>
      <c:catAx>
        <c:axId val="44737664"/>
        <c:scaling>
          <c:orientation val="minMax"/>
        </c:scaling>
        <c:delete val="0"/>
        <c:axPos val="b"/>
        <c:majorTickMark val="out"/>
        <c:minorTickMark val="none"/>
        <c:tickLblPos val="nextTo"/>
        <c:crossAx val="44739968"/>
        <c:crosses val="autoZero"/>
        <c:auto val="1"/>
        <c:lblAlgn val="ctr"/>
        <c:lblOffset val="100"/>
        <c:noMultiLvlLbl val="0"/>
      </c:catAx>
      <c:valAx>
        <c:axId val="44739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7376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кол-во специалистов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2010г.</c:v>
                </c:pt>
                <c:pt idx="1">
                  <c:v>2011г.</c:v>
                </c:pt>
                <c:pt idx="2">
                  <c:v>2012г.</c:v>
                </c:pt>
                <c:pt idx="3">
                  <c:v>2013г.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730</c:v>
                </c:pt>
                <c:pt idx="1">
                  <c:v>770</c:v>
                </c:pt>
                <c:pt idx="2">
                  <c:v>880</c:v>
                </c:pt>
                <c:pt idx="3">
                  <c:v>920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3455232"/>
        <c:axId val="63457152"/>
      </c:lineChart>
      <c:catAx>
        <c:axId val="63455232"/>
        <c:scaling>
          <c:orientation val="minMax"/>
        </c:scaling>
        <c:delete val="0"/>
        <c:axPos val="b"/>
        <c:majorTickMark val="out"/>
        <c:minorTickMark val="none"/>
        <c:tickLblPos val="nextTo"/>
        <c:crossAx val="63457152"/>
        <c:crosses val="autoZero"/>
        <c:auto val="1"/>
        <c:lblAlgn val="ctr"/>
        <c:lblOffset val="100"/>
        <c:noMultiLvlLbl val="0"/>
      </c:catAx>
      <c:valAx>
        <c:axId val="63457152"/>
        <c:scaling>
          <c:orientation val="minMax"/>
          <c:min val="7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34552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193132108486439E-2"/>
          <c:y val="4.4057617797775277E-2"/>
          <c:w val="0.88478273549139685"/>
          <c:h val="0.5571062992125984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организаций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Только госсударственные заказчики</c:v>
                </c:pt>
                <c:pt idx="1">
                  <c:v>Только частные заказчики</c:v>
                </c:pt>
                <c:pt idx="2">
                  <c:v>Государственные,  муниципальные и частные заказчики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35</c:v>
                </c:pt>
                <c:pt idx="2">
                  <c:v>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6380928"/>
        <c:axId val="66382464"/>
        <c:axId val="0"/>
      </c:bar3DChart>
      <c:catAx>
        <c:axId val="66380928"/>
        <c:scaling>
          <c:orientation val="minMax"/>
        </c:scaling>
        <c:delete val="0"/>
        <c:axPos val="b"/>
        <c:majorTickMark val="out"/>
        <c:minorTickMark val="none"/>
        <c:tickLblPos val="nextTo"/>
        <c:crossAx val="66382464"/>
        <c:crosses val="autoZero"/>
        <c:auto val="1"/>
        <c:lblAlgn val="ctr"/>
        <c:lblOffset val="100"/>
        <c:noMultiLvlLbl val="0"/>
      </c:catAx>
      <c:valAx>
        <c:axId val="66382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63809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125109361329829"/>
          <c:y val="0.81729565054368203"/>
          <c:w val="0.28486001749781276"/>
          <c:h val="0.1273131483564554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2263392035212562"/>
          <c:y val="2.2633744855967079E-2"/>
          <c:w val="0.41241499788056674"/>
          <c:h val="0.9258196429150059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Кол-во организаций, специализирующихся в том числе и на указанных объектах</c:v>
                </c:pt>
              </c:strCache>
            </c:strRef>
          </c:tx>
          <c:invertIfNegative val="0"/>
          <c:cat>
            <c:strRef>
              <c:f>Лист1!$B$1:$U$1</c:f>
              <c:strCache>
                <c:ptCount val="20"/>
                <c:pt idx="0">
                  <c:v>Быстровозводимые здания
и сооружения</c:v>
                </c:pt>
                <c:pt idx="1">
                  <c:v>Гидротехнические
 и мелиоративные сооружения</c:v>
                </c:pt>
                <c:pt idx="2">
                  <c:v>Градостроительные 
проекты</c:v>
                </c:pt>
                <c:pt idx="3">
                  <c:v>Жилые и 
общественные здания</c:v>
                </c:pt>
                <c:pt idx="4">
                  <c:v>Защитные сооружения 
объектов гражданской
 обороны</c:v>
                </c:pt>
                <c:pt idx="5">
                  <c:v>Инженерные
 сети и системы</c:v>
                </c:pt>
                <c:pt idx="6">
                  <c:v>Малоэтажное
строительство</c:v>
                </c:pt>
                <c:pt idx="7">
                  <c:v>Производственные
 объекты</c:v>
                </c:pt>
                <c:pt idx="8">
                  <c:v>Объекты и сооружения
 сельскохозяйственного
 назначения</c:v>
                </c:pt>
                <c:pt idx="9">
                  <c:v>Объекты и сооружения
 пищевого и продовольственного
 назначения</c:v>
                </c:pt>
                <c:pt idx="10">
                  <c:v>Объекты
 гидроэнергетики</c:v>
                </c:pt>
                <c:pt idx="11">
                  <c:v>Объекты 
теплоэнергетики</c:v>
                </c:pt>
                <c:pt idx="12">
                  <c:v>Объекты газодобычи
 и переработки,
 нефтедобычи
 и переработки</c:v>
                </c:pt>
                <c:pt idx="13">
                  <c:v>Железнодорожные
 транспортные комплексы
 и сооружения</c:v>
                </c:pt>
                <c:pt idx="14">
                  <c:v>Авиационные транспортные
 комплексы и сооружения</c:v>
                </c:pt>
                <c:pt idx="15">
                  <c:v>Автомобильные
 транспортные
 комплексы и сооружения</c:v>
                </c:pt>
                <c:pt idx="16">
                  <c:v>Водного транспорта
 комплексы и сооружения</c:v>
                </c:pt>
                <c:pt idx="17">
                  <c:v>Слаботочные системы,
 диспетчеризация
 и автоматизация</c:v>
                </c:pt>
                <c:pt idx="18">
                  <c:v>Системы
 пожарной безопасности</c:v>
                </c:pt>
                <c:pt idx="19">
                  <c:v>Экология и охрана
 окружающей среды</c:v>
                </c:pt>
              </c:strCache>
            </c:strRef>
          </c:cat>
          <c:val>
            <c:numRef>
              <c:f>Лист1!$B$2:$U$2</c:f>
              <c:numCache>
                <c:formatCode>General</c:formatCode>
                <c:ptCount val="20"/>
                <c:pt idx="0">
                  <c:v>19</c:v>
                </c:pt>
                <c:pt idx="1">
                  <c:v>4</c:v>
                </c:pt>
                <c:pt idx="2">
                  <c:v>19</c:v>
                </c:pt>
                <c:pt idx="3">
                  <c:v>48</c:v>
                </c:pt>
                <c:pt idx="4">
                  <c:v>4</c:v>
                </c:pt>
                <c:pt idx="5">
                  <c:v>53</c:v>
                </c:pt>
                <c:pt idx="6">
                  <c:v>41</c:v>
                </c:pt>
                <c:pt idx="7">
                  <c:v>36</c:v>
                </c:pt>
                <c:pt idx="8">
                  <c:v>13</c:v>
                </c:pt>
                <c:pt idx="9">
                  <c:v>16</c:v>
                </c:pt>
                <c:pt idx="10">
                  <c:v>1</c:v>
                </c:pt>
                <c:pt idx="11">
                  <c:v>15</c:v>
                </c:pt>
                <c:pt idx="12">
                  <c:v>3</c:v>
                </c:pt>
                <c:pt idx="13">
                  <c:v>4</c:v>
                </c:pt>
                <c:pt idx="14">
                  <c:v>1</c:v>
                </c:pt>
                <c:pt idx="15">
                  <c:v>12</c:v>
                </c:pt>
                <c:pt idx="16">
                  <c:v>3</c:v>
                </c:pt>
                <c:pt idx="17">
                  <c:v>28</c:v>
                </c:pt>
                <c:pt idx="18">
                  <c:v>27</c:v>
                </c:pt>
                <c:pt idx="19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Кол-во организаций, специализирующихся толькона указанных объектах</c:v>
                </c:pt>
              </c:strCache>
            </c:strRef>
          </c:tx>
          <c:spPr>
            <a:pattFill prst="ltDnDiag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cat>
            <c:strRef>
              <c:f>Лист1!$B$1:$U$1</c:f>
              <c:strCache>
                <c:ptCount val="20"/>
                <c:pt idx="0">
                  <c:v>Быстровозводимые здания
и сооружения</c:v>
                </c:pt>
                <c:pt idx="1">
                  <c:v>Гидротехнические
 и мелиоративные сооружения</c:v>
                </c:pt>
                <c:pt idx="2">
                  <c:v>Градостроительные 
проекты</c:v>
                </c:pt>
                <c:pt idx="3">
                  <c:v>Жилые и 
общественные здания</c:v>
                </c:pt>
                <c:pt idx="4">
                  <c:v>Защитные сооружения 
объектов гражданской
 обороны</c:v>
                </c:pt>
                <c:pt idx="5">
                  <c:v>Инженерные
 сети и системы</c:v>
                </c:pt>
                <c:pt idx="6">
                  <c:v>Малоэтажное
строительство</c:v>
                </c:pt>
                <c:pt idx="7">
                  <c:v>Производственные
 объекты</c:v>
                </c:pt>
                <c:pt idx="8">
                  <c:v>Объекты и сооружения
 сельскохозяйственного
 назначения</c:v>
                </c:pt>
                <c:pt idx="9">
                  <c:v>Объекты и сооружения
 пищевого и продовольственного
 назначения</c:v>
                </c:pt>
                <c:pt idx="10">
                  <c:v>Объекты
 гидроэнергетики</c:v>
                </c:pt>
                <c:pt idx="11">
                  <c:v>Объекты 
теплоэнергетики</c:v>
                </c:pt>
                <c:pt idx="12">
                  <c:v>Объекты газодобычи
 и переработки,
 нефтедобычи
 и переработки</c:v>
                </c:pt>
                <c:pt idx="13">
                  <c:v>Железнодорожные
 транспортные комплексы
 и сооружения</c:v>
                </c:pt>
                <c:pt idx="14">
                  <c:v>Авиационные транспортные
 комплексы и сооружения</c:v>
                </c:pt>
                <c:pt idx="15">
                  <c:v>Автомобильные
 транспортные
 комплексы и сооружения</c:v>
                </c:pt>
                <c:pt idx="16">
                  <c:v>Водного транспорта
 комплексы и сооружения</c:v>
                </c:pt>
                <c:pt idx="17">
                  <c:v>Слаботочные системы,
 диспетчеризация
 и автоматизация</c:v>
                </c:pt>
                <c:pt idx="18">
                  <c:v>Системы
 пожарной безопасности</c:v>
                </c:pt>
                <c:pt idx="19">
                  <c:v>Экология и охрана
 окружающей среды</c:v>
                </c:pt>
              </c:strCache>
            </c:strRef>
          </c:cat>
          <c:val>
            <c:numRef>
              <c:f>Лист1!$B$3:$U$3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12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12</c:v>
                </c:pt>
                <c:pt idx="18">
                  <c:v>12</c:v>
                </c:pt>
                <c:pt idx="1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915008"/>
        <c:axId val="47916544"/>
      </c:barChart>
      <c:catAx>
        <c:axId val="47915008"/>
        <c:scaling>
          <c:orientation val="minMax"/>
        </c:scaling>
        <c:delete val="0"/>
        <c:axPos val="l"/>
        <c:majorTickMark val="out"/>
        <c:minorTickMark val="none"/>
        <c:tickLblPos val="nextTo"/>
        <c:crossAx val="47916544"/>
        <c:crosses val="autoZero"/>
        <c:auto val="1"/>
        <c:lblAlgn val="ctr"/>
        <c:lblOffset val="100"/>
        <c:noMultiLvlLbl val="0"/>
      </c:catAx>
      <c:valAx>
        <c:axId val="4791654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7915008"/>
        <c:crosses val="autoZero"/>
        <c:crossBetween val="between"/>
        <c:majorUnit val="5"/>
      </c:valAx>
    </c:plotArea>
    <c:legend>
      <c:legendPos val="r"/>
      <c:layout>
        <c:manualLayout>
          <c:xMode val="edge"/>
          <c:yMode val="edge"/>
          <c:x val="0.74639589300929554"/>
          <c:y val="0.42587940323249068"/>
          <c:w val="0.24055353602822485"/>
          <c:h val="0.2921008426578256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5172F-D1C7-4853-A71B-EBFAA9D37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ППК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MarchenkoEA</dc:creator>
  <cp:lastModifiedBy>MarchenkoEA</cp:lastModifiedBy>
  <cp:revision>6</cp:revision>
  <cp:lastPrinted>2015-01-30T00:44:00Z</cp:lastPrinted>
  <dcterms:created xsi:type="dcterms:W3CDTF">2015-01-29T02:44:00Z</dcterms:created>
  <dcterms:modified xsi:type="dcterms:W3CDTF">2018-04-11T04:56:00Z</dcterms:modified>
</cp:coreProperties>
</file>