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9E" w:rsidRPr="00C244BC" w:rsidRDefault="00057C9E" w:rsidP="002A1A30">
      <w:pPr>
        <w:ind w:firstLine="709"/>
        <w:jc w:val="center"/>
        <w:rPr>
          <w:rFonts w:ascii="Times New Roman" w:eastAsia="Andale Sans UI" w:hAnsi="Times New Roman"/>
          <w:b/>
          <w:kern w:val="1"/>
          <w:lang w:eastAsia="fa-IR" w:bidi="fa-IR"/>
        </w:rPr>
      </w:pPr>
      <w:r w:rsidRPr="00C244BC">
        <w:rPr>
          <w:rFonts w:ascii="Times New Roman" w:eastAsia="Andale Sans UI" w:hAnsi="Times New Roman"/>
          <w:b/>
          <w:kern w:val="1"/>
          <w:lang w:eastAsia="fa-IR" w:bidi="fa-IR"/>
        </w:rPr>
        <w:t>АНАЛИЗ</w:t>
      </w:r>
    </w:p>
    <w:p w:rsidR="00057C9E" w:rsidRPr="00057C9E" w:rsidRDefault="00057C9E" w:rsidP="002A1A30">
      <w:pPr>
        <w:widowControl w:val="0"/>
        <w:suppressAutoHyphens/>
        <w:ind w:firstLine="709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 xml:space="preserve">деятельности членов СРО НП </w:t>
      </w:r>
      <w:r w:rsidRPr="00C244BC">
        <w:rPr>
          <w:rFonts w:ascii="Times New Roman" w:eastAsia="Andale Sans UI" w:hAnsi="Times New Roman"/>
          <w:b/>
          <w:kern w:val="1"/>
          <w:lang w:eastAsia="fa-IR" w:bidi="fa-IR"/>
        </w:rPr>
        <w:t>ППК</w:t>
      </w:r>
    </w:p>
    <w:p w:rsidR="00057C9E" w:rsidRPr="00057C9E" w:rsidRDefault="00057C9E" w:rsidP="002A1A30">
      <w:pPr>
        <w:widowControl w:val="0"/>
        <w:suppressAutoHyphens/>
        <w:ind w:firstLine="709"/>
        <w:jc w:val="center"/>
        <w:textAlignment w:val="baseline"/>
        <w:rPr>
          <w:rFonts w:ascii="Times New Roman" w:eastAsia="Andale Sans UI" w:hAnsi="Times New Roman"/>
          <w:b/>
          <w:kern w:val="1"/>
          <w:lang w:eastAsia="fa-IR" w:bidi="fa-IR"/>
        </w:rPr>
      </w:pP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>на основе информации, представленной членами в форме отчетов</w:t>
      </w:r>
    </w:p>
    <w:p w:rsidR="00057C9E" w:rsidRPr="00057C9E" w:rsidRDefault="00057C9E" w:rsidP="002A1A30">
      <w:pPr>
        <w:widowControl w:val="0"/>
        <w:suppressAutoHyphens/>
        <w:ind w:firstLine="709"/>
        <w:jc w:val="center"/>
        <w:textAlignment w:val="baseline"/>
        <w:rPr>
          <w:rFonts w:ascii="Times New Roman" w:eastAsia="Andale Sans UI" w:hAnsi="Times New Roman"/>
          <w:kern w:val="1"/>
          <w:lang w:eastAsia="fa-IR" w:bidi="fa-IR"/>
        </w:rPr>
      </w:pP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>за 201</w:t>
      </w:r>
      <w:r w:rsidR="00282289">
        <w:rPr>
          <w:rFonts w:ascii="Times New Roman" w:eastAsia="Andale Sans UI" w:hAnsi="Times New Roman"/>
          <w:b/>
          <w:kern w:val="1"/>
          <w:lang w:eastAsia="fa-IR" w:bidi="fa-IR"/>
        </w:rPr>
        <w:t>2</w:t>
      </w:r>
      <w:r w:rsidRPr="00057C9E">
        <w:rPr>
          <w:rFonts w:ascii="Times New Roman" w:eastAsia="Andale Sans UI" w:hAnsi="Times New Roman"/>
          <w:b/>
          <w:kern w:val="1"/>
          <w:lang w:eastAsia="fa-IR" w:bidi="fa-IR"/>
        </w:rPr>
        <w:t xml:space="preserve"> год</w:t>
      </w:r>
    </w:p>
    <w:p w:rsidR="00057C9E" w:rsidRPr="00057C9E" w:rsidRDefault="00057C9E" w:rsidP="002A1A30">
      <w:pPr>
        <w:widowControl w:val="0"/>
        <w:suppressAutoHyphens/>
        <w:ind w:firstLine="709"/>
        <w:jc w:val="center"/>
        <w:textAlignment w:val="baseline"/>
        <w:rPr>
          <w:rFonts w:ascii="Times New Roman" w:eastAsia="Andale Sans UI" w:hAnsi="Times New Roman"/>
          <w:kern w:val="1"/>
          <w:lang w:eastAsia="fa-IR" w:bidi="fa-IR"/>
        </w:rPr>
      </w:pPr>
    </w:p>
    <w:p w:rsidR="00057C9E" w:rsidRPr="00057C9E" w:rsidRDefault="0098551C" w:rsidP="008B4A5D">
      <w:pPr>
        <w:widowControl w:val="0"/>
        <w:suppressAutoHyphens/>
        <w:ind w:firstLine="709"/>
        <w:jc w:val="both"/>
        <w:textAlignment w:val="baseline"/>
        <w:rPr>
          <w:rFonts w:ascii="Times New Roman" w:eastAsia="Andale Sans UI" w:hAnsi="Times New Roman"/>
          <w:kern w:val="1"/>
          <w:lang w:eastAsia="fa-IR" w:bidi="fa-IR"/>
        </w:rPr>
      </w:pPr>
      <w:r>
        <w:rPr>
          <w:rFonts w:ascii="Times New Roman" w:eastAsia="Andale Sans UI" w:hAnsi="Times New Roman"/>
          <w:kern w:val="1"/>
          <w:lang w:eastAsia="fa-IR" w:bidi="fa-IR"/>
        </w:rPr>
        <w:t xml:space="preserve"> 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Настоящий анализ деятельности членов СРО НП 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ППК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 подготовлен в соответствии с пунктом 4 части 1 статьи 6 Федерального закона от 01.12.2007 № 315-ФЗ «О саморегулируемых организациях», пунктом 3.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4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 Устава 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Партнерства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 и 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Правилами контроля в области саморегулирования</w:t>
      </w:r>
      <w:r w:rsidR="00057C9E" w:rsidRPr="00057C9E">
        <w:rPr>
          <w:rFonts w:ascii="Times New Roman" w:eastAsia="Andale Sans UI" w:hAnsi="Times New Roman"/>
          <w:kern w:val="1"/>
          <w:lang w:eastAsia="fa-IR" w:bidi="fa-IR"/>
        </w:rPr>
        <w:t xml:space="preserve"> на основании информации, представляемой членами в форме отчетов</w:t>
      </w:r>
      <w:r w:rsidR="002A1A30">
        <w:rPr>
          <w:rFonts w:ascii="Times New Roman" w:eastAsia="Andale Sans UI" w:hAnsi="Times New Roman"/>
          <w:kern w:val="1"/>
          <w:lang w:eastAsia="fa-IR" w:bidi="fa-IR"/>
        </w:rPr>
        <w:t xml:space="preserve"> о деятельности</w:t>
      </w:r>
      <w:r w:rsidR="00790F68" w:rsidRPr="00C244BC">
        <w:rPr>
          <w:rFonts w:ascii="Times New Roman" w:eastAsia="Andale Sans UI" w:hAnsi="Times New Roman"/>
          <w:kern w:val="1"/>
          <w:lang w:eastAsia="fa-IR" w:bidi="fa-IR"/>
        </w:rPr>
        <w:t>.</w:t>
      </w:r>
    </w:p>
    <w:p w:rsidR="00057C9E" w:rsidRPr="00C244BC" w:rsidRDefault="00057C9E" w:rsidP="008B4A5D">
      <w:pPr>
        <w:ind w:firstLine="709"/>
        <w:jc w:val="both"/>
        <w:rPr>
          <w:rFonts w:ascii="Times New Roman" w:hAnsi="Times New Roman"/>
        </w:rPr>
      </w:pPr>
    </w:p>
    <w:p w:rsidR="00746AF4" w:rsidRDefault="00057C9E" w:rsidP="00746AF4">
      <w:pPr>
        <w:ind w:firstLine="709"/>
        <w:jc w:val="both"/>
        <w:rPr>
          <w:rFonts w:ascii="Times New Roman" w:hAnsi="Times New Roman"/>
        </w:rPr>
      </w:pPr>
      <w:r w:rsidRPr="00C244BC">
        <w:rPr>
          <w:rFonts w:ascii="Times New Roman" w:hAnsi="Times New Roman"/>
        </w:rPr>
        <w:t xml:space="preserve"> </w:t>
      </w:r>
      <w:r w:rsidR="00746AF4" w:rsidRPr="00407DC6">
        <w:rPr>
          <w:rFonts w:ascii="Times New Roman" w:hAnsi="Times New Roman"/>
        </w:rPr>
        <w:t xml:space="preserve">В настоящее время </w:t>
      </w:r>
      <w:r w:rsidR="00746AF4">
        <w:rPr>
          <w:rFonts w:ascii="Times New Roman" w:hAnsi="Times New Roman"/>
        </w:rPr>
        <w:t>СРО НП ППК</w:t>
      </w:r>
      <w:r w:rsidR="00746AF4" w:rsidRPr="00407DC6">
        <w:rPr>
          <w:rFonts w:ascii="Times New Roman" w:hAnsi="Times New Roman"/>
        </w:rPr>
        <w:t xml:space="preserve"> объединяет 99 компаний,  </w:t>
      </w:r>
      <w:proofErr w:type="gramStart"/>
      <w:r w:rsidR="00746AF4" w:rsidRPr="00407DC6">
        <w:rPr>
          <w:rFonts w:ascii="Times New Roman" w:hAnsi="Times New Roman"/>
        </w:rPr>
        <w:t>представителей</w:t>
      </w:r>
      <w:proofErr w:type="gramEnd"/>
      <w:r w:rsidR="00746AF4" w:rsidRPr="00407DC6">
        <w:rPr>
          <w:rFonts w:ascii="Times New Roman" w:hAnsi="Times New Roman"/>
        </w:rPr>
        <w:t xml:space="preserve"> как крупного, так и среднего и малого бизнеса. В 2012 году в Партнерство были приняты 10 предприятий, в том числе 2 организации из Сахалинской области. </w:t>
      </w:r>
    </w:p>
    <w:p w:rsidR="00912842" w:rsidRPr="00912842" w:rsidRDefault="00912842" w:rsidP="00746AF4">
      <w:pPr>
        <w:ind w:firstLine="709"/>
        <w:jc w:val="both"/>
        <w:rPr>
          <w:rFonts w:ascii="Times New Roman" w:hAnsi="Times New Roman"/>
        </w:rPr>
      </w:pPr>
      <w:r w:rsidRPr="00912842">
        <w:rPr>
          <w:rFonts w:ascii="Times New Roman" w:hAnsi="Times New Roman"/>
        </w:rPr>
        <w:t xml:space="preserve"> </w:t>
      </w:r>
    </w:p>
    <w:p w:rsidR="00A5659F" w:rsidRDefault="00746AF4" w:rsidP="00A5659F">
      <w:pPr>
        <w:ind w:firstLine="709"/>
        <w:jc w:val="both"/>
        <w:rPr>
          <w:rFonts w:ascii="Times New Roman" w:hAnsi="Times New Roman"/>
        </w:rPr>
      </w:pPr>
      <w:r w:rsidRPr="00407DC6">
        <w:rPr>
          <w:rFonts w:ascii="Times New Roman" w:hAnsi="Times New Roman"/>
        </w:rPr>
        <w:t>За этот же период 5 компаний прекратили членство в Партнерстве, по заявлению о добровольном выходе (в связи с изменением сферы деятельности, а также выполнением работ не связанных с деятельностью оказывающей влияние на безопасность объектов капитального строительства).</w:t>
      </w:r>
    </w:p>
    <w:p w:rsidR="00A5659F" w:rsidRDefault="00A5659F" w:rsidP="00A5659F">
      <w:pPr>
        <w:ind w:firstLine="709"/>
        <w:jc w:val="both"/>
        <w:rPr>
          <w:rFonts w:ascii="Times New Roman" w:hAnsi="Times New Roman"/>
        </w:rPr>
      </w:pPr>
    </w:p>
    <w:p w:rsidR="00A5659F" w:rsidRPr="00C244BC" w:rsidRDefault="00A5659F" w:rsidP="00A5659F">
      <w:pPr>
        <w:ind w:firstLine="709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Как видно из диаграммы в</w:t>
      </w:r>
      <w:r>
        <w:rPr>
          <w:rFonts w:ascii="Times New Roman" w:eastAsia="Times New Roman" w:hAnsi="Times New Roman"/>
          <w:bCs/>
          <w:lang w:eastAsia="ru-RU"/>
        </w:rPr>
        <w:t xml:space="preserve"> б</w:t>
      </w:r>
      <w:r w:rsidRPr="00C244BC">
        <w:rPr>
          <w:rFonts w:ascii="Times New Roman" w:hAnsi="Times New Roman"/>
        </w:rPr>
        <w:t>ольшинстве организаций</w:t>
      </w:r>
      <w:r>
        <w:rPr>
          <w:rFonts w:ascii="Times New Roman" w:eastAsia="Times New Roman" w:hAnsi="Times New Roman"/>
          <w:bCs/>
          <w:lang w:eastAsia="ru-RU"/>
        </w:rPr>
        <w:t xml:space="preserve"> о</w:t>
      </w:r>
      <w:r w:rsidRPr="00C244BC">
        <w:rPr>
          <w:rFonts w:ascii="Times New Roman" w:hAnsi="Times New Roman"/>
        </w:rPr>
        <w:t>бщее количество работников, занятых подготовкой проектной  документации, согласно представленной информации</w:t>
      </w:r>
      <w:r w:rsidRPr="00493227">
        <w:t xml:space="preserve"> </w:t>
      </w:r>
      <w:r w:rsidRPr="00493227">
        <w:rPr>
          <w:rFonts w:ascii="Times New Roman" w:hAnsi="Times New Roman"/>
        </w:rPr>
        <w:t>около 10 специалистов</w:t>
      </w:r>
      <w:r w:rsidRPr="00C244BC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</w:t>
      </w:r>
    </w:p>
    <w:p w:rsidR="00912842" w:rsidRDefault="00912842" w:rsidP="008B4A5D">
      <w:pPr>
        <w:ind w:firstLine="709"/>
        <w:jc w:val="both"/>
        <w:rPr>
          <w:rFonts w:ascii="Times New Roman" w:hAnsi="Times New Roman"/>
        </w:rPr>
      </w:pPr>
    </w:p>
    <w:p w:rsidR="00746AF4" w:rsidRDefault="00746AF4" w:rsidP="008B4A5D">
      <w:pPr>
        <w:ind w:firstLine="709"/>
        <w:jc w:val="both"/>
        <w:rPr>
          <w:rFonts w:ascii="Times New Roman" w:hAnsi="Times New Roman"/>
        </w:rPr>
      </w:pPr>
    </w:p>
    <w:p w:rsidR="00912842" w:rsidRDefault="00A5659F" w:rsidP="008B4A5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629BF2F4" wp14:editId="13C45442">
            <wp:extent cx="5448300" cy="353377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95E2A" w:rsidRPr="00C244BC" w:rsidRDefault="00695E2A" w:rsidP="00C244BC">
      <w:pPr>
        <w:ind w:firstLine="709"/>
        <w:rPr>
          <w:rFonts w:ascii="Times New Roman" w:hAnsi="Times New Roman"/>
          <w:color w:val="FF0000"/>
        </w:rPr>
      </w:pPr>
    </w:p>
    <w:p w:rsidR="00161DEB" w:rsidRDefault="00161DEB" w:rsidP="00161DEB">
      <w:pPr>
        <w:keepNext/>
        <w:ind w:firstLine="709"/>
      </w:pPr>
    </w:p>
    <w:p w:rsidR="00951000" w:rsidRDefault="00951000" w:rsidP="00C244BC">
      <w:pPr>
        <w:ind w:firstLine="709"/>
        <w:rPr>
          <w:rFonts w:ascii="Times New Roman" w:hAnsi="Times New Roman"/>
        </w:rPr>
      </w:pPr>
    </w:p>
    <w:p w:rsidR="00951000" w:rsidRDefault="00951000" w:rsidP="00C244BC">
      <w:pPr>
        <w:ind w:firstLine="709"/>
        <w:rPr>
          <w:rFonts w:ascii="Times New Roman" w:hAnsi="Times New Roman"/>
        </w:rPr>
      </w:pPr>
    </w:p>
    <w:p w:rsidR="00951000" w:rsidRDefault="00951000" w:rsidP="00C244BC">
      <w:pPr>
        <w:ind w:firstLine="709"/>
        <w:rPr>
          <w:rFonts w:ascii="Times New Roman" w:hAnsi="Times New Roman"/>
        </w:rPr>
      </w:pPr>
    </w:p>
    <w:p w:rsidR="00951000" w:rsidRDefault="00951000" w:rsidP="00C244BC">
      <w:pPr>
        <w:ind w:firstLine="709"/>
        <w:rPr>
          <w:rFonts w:ascii="Times New Roman" w:hAnsi="Times New Roman"/>
        </w:rPr>
      </w:pPr>
    </w:p>
    <w:p w:rsidR="00951000" w:rsidRDefault="00951000" w:rsidP="00C244BC">
      <w:pPr>
        <w:ind w:firstLine="709"/>
        <w:rPr>
          <w:rFonts w:ascii="Times New Roman" w:hAnsi="Times New Roman"/>
        </w:rPr>
      </w:pPr>
    </w:p>
    <w:p w:rsidR="00951000" w:rsidRDefault="00951000" w:rsidP="00C244BC">
      <w:pPr>
        <w:ind w:firstLine="709"/>
        <w:rPr>
          <w:rFonts w:ascii="Times New Roman" w:hAnsi="Times New Roman"/>
        </w:rPr>
      </w:pPr>
    </w:p>
    <w:p w:rsidR="00695E2A" w:rsidRDefault="00A5659F" w:rsidP="00C244B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этом увеличилось общее количество специалистов </w:t>
      </w:r>
      <w:r w:rsidRPr="00A5659F">
        <w:rPr>
          <w:rFonts w:ascii="Times New Roman" w:hAnsi="Times New Roman"/>
        </w:rPr>
        <w:t>заявленных на выполнение проектных работ</w:t>
      </w:r>
      <w:r>
        <w:rPr>
          <w:rFonts w:ascii="Times New Roman" w:hAnsi="Times New Roman"/>
        </w:rPr>
        <w:t xml:space="preserve">.  Динамика изменений </w:t>
      </w:r>
      <w:r w:rsidRPr="00C244BC">
        <w:rPr>
          <w:rFonts w:ascii="Times New Roman" w:hAnsi="Times New Roman"/>
        </w:rPr>
        <w:t>видн</w:t>
      </w:r>
      <w:r>
        <w:rPr>
          <w:rFonts w:ascii="Times New Roman" w:hAnsi="Times New Roman"/>
        </w:rPr>
        <w:t xml:space="preserve">а на </w:t>
      </w:r>
      <w:r w:rsidRPr="00C244BC">
        <w:rPr>
          <w:rFonts w:ascii="Times New Roman" w:hAnsi="Times New Roman"/>
        </w:rPr>
        <w:t>диаграмм</w:t>
      </w:r>
      <w:r>
        <w:rPr>
          <w:rFonts w:ascii="Times New Roman" w:hAnsi="Times New Roman"/>
        </w:rPr>
        <w:t>е.</w:t>
      </w:r>
    </w:p>
    <w:p w:rsidR="00A5659F" w:rsidRDefault="00A5659F" w:rsidP="00C244BC">
      <w:pPr>
        <w:ind w:firstLine="709"/>
        <w:rPr>
          <w:rFonts w:ascii="Times New Roman" w:hAnsi="Times New Roman"/>
        </w:rPr>
      </w:pPr>
    </w:p>
    <w:p w:rsidR="00A5659F" w:rsidRPr="00C244BC" w:rsidRDefault="00A5659F" w:rsidP="00C244BC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51000" w:rsidRDefault="00951000" w:rsidP="008B4A5D">
      <w:pPr>
        <w:ind w:firstLine="709"/>
        <w:jc w:val="both"/>
        <w:rPr>
          <w:rFonts w:ascii="Times New Roman" w:hAnsi="Times New Roman"/>
        </w:rPr>
      </w:pPr>
    </w:p>
    <w:p w:rsidR="00196712" w:rsidRDefault="00196712" w:rsidP="008B4A5D">
      <w:pPr>
        <w:ind w:firstLine="709"/>
        <w:jc w:val="both"/>
        <w:rPr>
          <w:rFonts w:ascii="Times New Roman" w:hAnsi="Times New Roman"/>
        </w:rPr>
      </w:pPr>
      <w:r w:rsidRPr="00C244BC">
        <w:rPr>
          <w:rFonts w:ascii="Times New Roman" w:hAnsi="Times New Roman"/>
        </w:rPr>
        <w:t xml:space="preserve">Основная часть организаций </w:t>
      </w:r>
      <w:r w:rsidR="00B170BD">
        <w:rPr>
          <w:rFonts w:ascii="Times New Roman" w:hAnsi="Times New Roman"/>
        </w:rPr>
        <w:t xml:space="preserve">по-прежнему </w:t>
      </w:r>
      <w:r w:rsidRPr="00C244BC">
        <w:rPr>
          <w:rFonts w:ascii="Times New Roman" w:hAnsi="Times New Roman"/>
        </w:rPr>
        <w:t xml:space="preserve">осуществляет </w:t>
      </w:r>
      <w:r w:rsidR="00DE011D">
        <w:rPr>
          <w:rFonts w:ascii="Times New Roman" w:hAnsi="Times New Roman"/>
        </w:rPr>
        <w:t>р</w:t>
      </w:r>
      <w:r w:rsidR="00DE011D" w:rsidRPr="00DE011D">
        <w:rPr>
          <w:rFonts w:ascii="Times New Roman" w:hAnsi="Times New Roman"/>
        </w:rPr>
        <w:t>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 w:rsidRPr="00C244BC">
        <w:rPr>
          <w:rFonts w:ascii="Times New Roman" w:hAnsi="Times New Roman"/>
        </w:rPr>
        <w:t xml:space="preserve">, </w:t>
      </w:r>
      <w:r w:rsidR="00C244BC" w:rsidRPr="00C244BC">
        <w:rPr>
          <w:rFonts w:ascii="Times New Roman" w:hAnsi="Times New Roman"/>
        </w:rPr>
        <w:t>стоимость,</w:t>
      </w:r>
      <w:r w:rsidRPr="00C244BC">
        <w:rPr>
          <w:rFonts w:ascii="Times New Roman" w:hAnsi="Times New Roman"/>
        </w:rPr>
        <w:t xml:space="preserve"> котор</w:t>
      </w:r>
      <w:r w:rsidR="004D07C0">
        <w:rPr>
          <w:rFonts w:ascii="Times New Roman" w:hAnsi="Times New Roman"/>
        </w:rPr>
        <w:t>ых</w:t>
      </w:r>
      <w:r w:rsidRPr="00C244BC">
        <w:rPr>
          <w:rFonts w:ascii="Times New Roman" w:hAnsi="Times New Roman"/>
        </w:rPr>
        <w:t xml:space="preserve"> по одному договору не превышает пять миллионов рублей. </w:t>
      </w:r>
      <w:r w:rsidR="002759E1">
        <w:rPr>
          <w:rFonts w:ascii="Times New Roman" w:hAnsi="Times New Roman"/>
        </w:rPr>
        <w:t>При этом</w:t>
      </w:r>
      <w:r w:rsidRPr="00C244BC">
        <w:rPr>
          <w:rFonts w:ascii="Times New Roman" w:hAnsi="Times New Roman"/>
        </w:rPr>
        <w:t xml:space="preserve"> на сегодняшний день </w:t>
      </w:r>
      <w:r w:rsidR="00951000">
        <w:rPr>
          <w:rFonts w:ascii="Times New Roman" w:hAnsi="Times New Roman"/>
        </w:rPr>
        <w:t>изменилось</w:t>
      </w:r>
      <w:r w:rsidR="00B170BD">
        <w:rPr>
          <w:rFonts w:ascii="Times New Roman" w:hAnsi="Times New Roman"/>
        </w:rPr>
        <w:t xml:space="preserve"> число организаций </w:t>
      </w:r>
      <w:r w:rsidRPr="00C244BC">
        <w:rPr>
          <w:rFonts w:ascii="Times New Roman" w:hAnsi="Times New Roman"/>
        </w:rPr>
        <w:t>осуществляю</w:t>
      </w:r>
      <w:r w:rsidR="00B170BD">
        <w:rPr>
          <w:rFonts w:ascii="Times New Roman" w:hAnsi="Times New Roman"/>
        </w:rPr>
        <w:t>щих</w:t>
      </w:r>
      <w:r w:rsidRPr="00C244BC">
        <w:rPr>
          <w:rFonts w:ascii="Times New Roman" w:hAnsi="Times New Roman"/>
        </w:rPr>
        <w:t xml:space="preserve"> организацию работ по подготовке проектной документации, стоимость которой по одному договору превышает пять миллионов рублей.</w:t>
      </w:r>
    </w:p>
    <w:p w:rsidR="00B170BD" w:rsidRDefault="00B170BD" w:rsidP="008B4A5D">
      <w:pPr>
        <w:ind w:firstLine="709"/>
        <w:jc w:val="both"/>
        <w:rPr>
          <w:rFonts w:ascii="Times New Roman" w:hAnsi="Times New Roman"/>
        </w:rPr>
      </w:pPr>
    </w:p>
    <w:p w:rsidR="00B170BD" w:rsidRPr="00C244BC" w:rsidRDefault="00B170BD" w:rsidP="008B4A5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244BC" w:rsidRDefault="00C244BC" w:rsidP="008B4A5D">
      <w:pPr>
        <w:jc w:val="both"/>
        <w:rPr>
          <w:rFonts w:ascii="Times New Roman" w:hAnsi="Times New Roman"/>
        </w:rPr>
      </w:pPr>
    </w:p>
    <w:p w:rsidR="00C8055E" w:rsidRDefault="00C8055E" w:rsidP="002A1A30">
      <w:pPr>
        <w:ind w:firstLine="709"/>
        <w:jc w:val="both"/>
        <w:rPr>
          <w:rFonts w:ascii="Times New Roman" w:hAnsi="Times New Roman"/>
        </w:rPr>
      </w:pPr>
    </w:p>
    <w:p w:rsidR="00C8055E" w:rsidRDefault="00C8055E" w:rsidP="002A1A30">
      <w:pPr>
        <w:ind w:firstLine="709"/>
        <w:jc w:val="both"/>
        <w:rPr>
          <w:rFonts w:ascii="Times New Roman" w:hAnsi="Times New Roman"/>
        </w:rPr>
      </w:pPr>
    </w:p>
    <w:p w:rsidR="00A10FCF" w:rsidRDefault="00A10FCF" w:rsidP="00A10FCF">
      <w:pPr>
        <w:ind w:firstLine="709"/>
        <w:jc w:val="both"/>
        <w:rPr>
          <w:rFonts w:ascii="Times New Roman" w:hAnsi="Times New Roman"/>
        </w:rPr>
      </w:pPr>
      <w:r w:rsidRPr="008B4A5D">
        <w:rPr>
          <w:rFonts w:ascii="Times New Roman" w:hAnsi="Times New Roman"/>
        </w:rPr>
        <w:t>У всех членов СРО</w:t>
      </w:r>
      <w:r>
        <w:rPr>
          <w:rFonts w:ascii="Times New Roman" w:hAnsi="Times New Roman"/>
        </w:rPr>
        <w:t xml:space="preserve"> НП ППК</w:t>
      </w:r>
      <w:r w:rsidRPr="008B4A5D">
        <w:rPr>
          <w:rFonts w:ascii="Times New Roman" w:hAnsi="Times New Roman"/>
        </w:rPr>
        <w:t xml:space="preserve"> имеются в наличии договора страхования гражданской ответственности, которая может наступить в случае причинения вреда вследствие недостатков выполненных работ.</w:t>
      </w:r>
    </w:p>
    <w:p w:rsidR="00A10FCF" w:rsidRDefault="00A10FCF" w:rsidP="00A10FCF">
      <w:pPr>
        <w:ind w:firstLine="709"/>
        <w:jc w:val="both"/>
        <w:rPr>
          <w:rFonts w:ascii="Times New Roman" w:hAnsi="Times New Roman"/>
        </w:rPr>
      </w:pPr>
    </w:p>
    <w:p w:rsidR="00C8055E" w:rsidRPr="00C244BC" w:rsidRDefault="00A10FCF" w:rsidP="00C8055E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отчетный период</w:t>
      </w:r>
      <w:r w:rsidR="00951000">
        <w:rPr>
          <w:rFonts w:ascii="Times New Roman" w:hAnsi="Times New Roman"/>
        </w:rPr>
        <w:t xml:space="preserve"> увеличилось число </w:t>
      </w:r>
      <w:r w:rsidR="00C8055E" w:rsidRPr="00C244BC">
        <w:rPr>
          <w:rFonts w:ascii="Times New Roman" w:hAnsi="Times New Roman"/>
        </w:rPr>
        <w:t>организаци</w:t>
      </w:r>
      <w:r w:rsidR="00951000">
        <w:rPr>
          <w:rFonts w:ascii="Times New Roman" w:hAnsi="Times New Roman"/>
        </w:rPr>
        <w:t>й</w:t>
      </w:r>
      <w:r w:rsidR="00C8055E" w:rsidRPr="00C244BC">
        <w:rPr>
          <w:rFonts w:ascii="Times New Roman" w:hAnsi="Times New Roman"/>
        </w:rPr>
        <w:t>, входящи</w:t>
      </w:r>
      <w:r w:rsidR="00951000">
        <w:rPr>
          <w:rFonts w:ascii="Times New Roman" w:hAnsi="Times New Roman"/>
        </w:rPr>
        <w:t>х</w:t>
      </w:r>
      <w:r w:rsidR="00C8055E" w:rsidRPr="00C244BC">
        <w:rPr>
          <w:rFonts w:ascii="Times New Roman" w:hAnsi="Times New Roman"/>
        </w:rPr>
        <w:t xml:space="preserve"> в </w:t>
      </w:r>
      <w:r w:rsidR="00C8055E">
        <w:rPr>
          <w:rFonts w:ascii="Times New Roman" w:hAnsi="Times New Roman"/>
        </w:rPr>
        <w:t xml:space="preserve">состав </w:t>
      </w:r>
      <w:r w:rsidR="00C8055E" w:rsidRPr="00C244BC">
        <w:rPr>
          <w:rFonts w:ascii="Times New Roman" w:hAnsi="Times New Roman"/>
        </w:rPr>
        <w:t>Партнерств</w:t>
      </w:r>
      <w:r w:rsidR="00C8055E">
        <w:rPr>
          <w:rFonts w:ascii="Times New Roman" w:hAnsi="Times New Roman"/>
        </w:rPr>
        <w:t>а</w:t>
      </w:r>
      <w:r w:rsidR="00C8055E" w:rsidRPr="00C244BC">
        <w:rPr>
          <w:rFonts w:ascii="Times New Roman" w:hAnsi="Times New Roman"/>
        </w:rPr>
        <w:t>,</w:t>
      </w:r>
      <w:r w:rsidR="00951000">
        <w:rPr>
          <w:rFonts w:ascii="Times New Roman" w:hAnsi="Times New Roman"/>
        </w:rPr>
        <w:t xml:space="preserve"> которые</w:t>
      </w:r>
      <w:r w:rsidR="00C8055E" w:rsidRPr="00C244BC">
        <w:rPr>
          <w:rFonts w:ascii="Times New Roman" w:hAnsi="Times New Roman"/>
        </w:rPr>
        <w:t xml:space="preserve"> имеют сертификаты системы менеджмента качества в соответствии со стандартом ISO 9001 (ГОСТ </w:t>
      </w:r>
      <w:proofErr w:type="gramStart"/>
      <w:r w:rsidR="00C8055E" w:rsidRPr="00C244BC">
        <w:rPr>
          <w:rFonts w:ascii="Times New Roman" w:hAnsi="Times New Roman"/>
        </w:rPr>
        <w:t>Р</w:t>
      </w:r>
      <w:proofErr w:type="gramEnd"/>
      <w:r w:rsidR="00C8055E" w:rsidRPr="00C244BC">
        <w:rPr>
          <w:rFonts w:ascii="Times New Roman" w:hAnsi="Times New Roman"/>
        </w:rPr>
        <w:t xml:space="preserve"> ИСО 9001).</w:t>
      </w:r>
      <w:r w:rsidR="00951000">
        <w:rPr>
          <w:rFonts w:ascii="Times New Roman" w:hAnsi="Times New Roman"/>
        </w:rPr>
        <w:t xml:space="preserve"> На сегодняшний день 9 предприятий внедрили у себя систему менеджмента качества и успешно прошли сертификацию. Это свидетельствует о повышении уровня ответственности организаций, и как следствие повышение качества выполняемых работ.</w:t>
      </w:r>
    </w:p>
    <w:p w:rsidR="00C8055E" w:rsidRDefault="00C8055E" w:rsidP="002A1A30">
      <w:pPr>
        <w:ind w:firstLine="709"/>
        <w:jc w:val="both"/>
        <w:rPr>
          <w:rFonts w:ascii="Times New Roman" w:hAnsi="Times New Roman"/>
        </w:rPr>
      </w:pPr>
    </w:p>
    <w:p w:rsidR="008B4A5D" w:rsidRDefault="008B4A5D">
      <w:pPr>
        <w:rPr>
          <w:rFonts w:ascii="Times New Roman" w:hAnsi="Times New Roman"/>
        </w:rPr>
      </w:pPr>
    </w:p>
    <w:p w:rsidR="008B4A5D" w:rsidRDefault="008B4A5D">
      <w:pPr>
        <w:rPr>
          <w:rFonts w:ascii="Times New Roman" w:hAnsi="Times New Roman"/>
        </w:rPr>
      </w:pPr>
    </w:p>
    <w:p w:rsidR="008B4A5D" w:rsidRDefault="008B4A5D">
      <w:pPr>
        <w:rPr>
          <w:rFonts w:ascii="Times New Roman" w:hAnsi="Times New Roman"/>
        </w:rPr>
      </w:pPr>
    </w:p>
    <w:p w:rsidR="008B4A5D" w:rsidRDefault="008B4A5D">
      <w:pPr>
        <w:rPr>
          <w:rFonts w:ascii="Times New Roman" w:hAnsi="Times New Roman"/>
        </w:rPr>
      </w:pPr>
    </w:p>
    <w:p w:rsidR="008B4A5D" w:rsidRDefault="008B4A5D">
      <w:pPr>
        <w:rPr>
          <w:rFonts w:ascii="Times New Roman" w:hAnsi="Times New Roman"/>
        </w:rPr>
      </w:pPr>
    </w:p>
    <w:p w:rsidR="008B4A5D" w:rsidRDefault="008B4A5D">
      <w:pPr>
        <w:rPr>
          <w:rFonts w:ascii="Times New Roman" w:hAnsi="Times New Roman"/>
        </w:rPr>
      </w:pPr>
    </w:p>
    <w:p w:rsidR="008B4A5D" w:rsidRDefault="008B4A5D">
      <w:pPr>
        <w:rPr>
          <w:rFonts w:ascii="Times New Roman" w:hAnsi="Times New Roman"/>
        </w:rPr>
      </w:pPr>
    </w:p>
    <w:p w:rsidR="008B4A5D" w:rsidRDefault="008B4A5D">
      <w:pPr>
        <w:rPr>
          <w:rFonts w:ascii="Times New Roman" w:hAnsi="Times New Roman"/>
        </w:rPr>
      </w:pPr>
    </w:p>
    <w:p w:rsidR="008B4A5D" w:rsidRDefault="008B4A5D">
      <w:pPr>
        <w:rPr>
          <w:rFonts w:ascii="Times New Roman" w:hAnsi="Times New Roman"/>
        </w:rPr>
      </w:pPr>
    </w:p>
    <w:p w:rsidR="008B4A5D" w:rsidRDefault="008B4A5D">
      <w:pPr>
        <w:rPr>
          <w:rFonts w:ascii="Times New Roman" w:hAnsi="Times New Roman"/>
        </w:rPr>
      </w:pPr>
      <w:bookmarkStart w:id="0" w:name="_GoBack"/>
      <w:bookmarkEnd w:id="0"/>
    </w:p>
    <w:sectPr w:rsidR="008B4A5D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511" w:rsidRDefault="00AF2511" w:rsidP="00AF2511">
      <w:r>
        <w:separator/>
      </w:r>
    </w:p>
  </w:endnote>
  <w:endnote w:type="continuationSeparator" w:id="0">
    <w:p w:rsidR="00AF2511" w:rsidRDefault="00AF2511" w:rsidP="00AF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4681872"/>
      <w:docPartObj>
        <w:docPartGallery w:val="Page Numbers (Bottom of Page)"/>
        <w:docPartUnique/>
      </w:docPartObj>
    </w:sdtPr>
    <w:sdtEndPr/>
    <w:sdtContent>
      <w:p w:rsidR="00AF2511" w:rsidRDefault="00AF251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1DE9">
          <w:rPr>
            <w:noProof/>
          </w:rPr>
          <w:t>3</w:t>
        </w:r>
        <w:r>
          <w:fldChar w:fldCharType="end"/>
        </w:r>
      </w:p>
    </w:sdtContent>
  </w:sdt>
  <w:p w:rsidR="00AF2511" w:rsidRDefault="00AF25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511" w:rsidRDefault="00AF2511" w:rsidP="00AF2511">
      <w:r>
        <w:separator/>
      </w:r>
    </w:p>
  </w:footnote>
  <w:footnote w:type="continuationSeparator" w:id="0">
    <w:p w:rsidR="00AF2511" w:rsidRDefault="00AF2511" w:rsidP="00AF2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9E"/>
    <w:rsid w:val="00057C9E"/>
    <w:rsid w:val="00161DEB"/>
    <w:rsid w:val="00185983"/>
    <w:rsid w:val="00196712"/>
    <w:rsid w:val="002759E1"/>
    <w:rsid w:val="00282289"/>
    <w:rsid w:val="002A1A30"/>
    <w:rsid w:val="00493227"/>
    <w:rsid w:val="004D07C0"/>
    <w:rsid w:val="00695E2A"/>
    <w:rsid w:val="00746AF4"/>
    <w:rsid w:val="00763CF0"/>
    <w:rsid w:val="00790F68"/>
    <w:rsid w:val="008B4A5D"/>
    <w:rsid w:val="00912842"/>
    <w:rsid w:val="00951000"/>
    <w:rsid w:val="0098551C"/>
    <w:rsid w:val="00A10FCF"/>
    <w:rsid w:val="00A5659F"/>
    <w:rsid w:val="00AF2511"/>
    <w:rsid w:val="00B170BD"/>
    <w:rsid w:val="00BC0F40"/>
    <w:rsid w:val="00BF7B7F"/>
    <w:rsid w:val="00C244BC"/>
    <w:rsid w:val="00C64477"/>
    <w:rsid w:val="00C8055E"/>
    <w:rsid w:val="00DE011D"/>
    <w:rsid w:val="00EF4130"/>
    <w:rsid w:val="00F5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9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83"/>
    <w:rPr>
      <w:rFonts w:ascii="Tahoma" w:eastAsia="Cambri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61DEB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25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2511"/>
    <w:rPr>
      <w:rFonts w:ascii="Cambria" w:eastAsia="Cambria" w:hAnsi="Cambria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F25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2511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C9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83"/>
    <w:rPr>
      <w:rFonts w:ascii="Tahoma" w:eastAsia="Cambri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61DEB"/>
    <w:pPr>
      <w:spacing w:after="200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25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F2511"/>
    <w:rPr>
      <w:rFonts w:ascii="Cambria" w:eastAsia="Cambria" w:hAnsi="Cambria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F25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2511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организаций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До 5 специалистов</c:v>
                </c:pt>
                <c:pt idx="1">
                  <c:v>До 10 специалистов</c:v>
                </c:pt>
                <c:pt idx="2">
                  <c:v>До 15 специалистов</c:v>
                </c:pt>
                <c:pt idx="3">
                  <c:v>До 20 специалистов</c:v>
                </c:pt>
                <c:pt idx="4">
                  <c:v>Свыше 20 специалистов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</c:v>
                </c:pt>
                <c:pt idx="1">
                  <c:v>42</c:v>
                </c:pt>
                <c:pt idx="2">
                  <c:v>27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738816"/>
        <c:axId val="48235264"/>
      </c:barChart>
      <c:catAx>
        <c:axId val="44738816"/>
        <c:scaling>
          <c:orientation val="minMax"/>
        </c:scaling>
        <c:delete val="0"/>
        <c:axPos val="b"/>
        <c:majorTickMark val="out"/>
        <c:minorTickMark val="none"/>
        <c:tickLblPos val="nextTo"/>
        <c:crossAx val="48235264"/>
        <c:crosses val="autoZero"/>
        <c:auto val="1"/>
        <c:lblAlgn val="ctr"/>
        <c:lblOffset val="100"/>
        <c:noMultiLvlLbl val="0"/>
      </c:catAx>
      <c:valAx>
        <c:axId val="48235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7388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кол-во специалистов</c:v>
                </c:pt>
              </c:strCache>
            </c:strRef>
          </c:tx>
          <c:marker>
            <c:symbol val="none"/>
          </c:marker>
          <c:cat>
            <c:strRef>
              <c:f>Лист1!$A$2:$A$4</c:f>
              <c:strCache>
                <c:ptCount val="3"/>
                <c:pt idx="0">
                  <c:v>2010г.</c:v>
                </c:pt>
                <c:pt idx="1">
                  <c:v>2011г.</c:v>
                </c:pt>
                <c:pt idx="2">
                  <c:v>2012г.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730</c:v>
                </c:pt>
                <c:pt idx="1">
                  <c:v>770</c:v>
                </c:pt>
                <c:pt idx="2">
                  <c:v>880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3493248"/>
        <c:axId val="63494784"/>
      </c:lineChart>
      <c:catAx>
        <c:axId val="63493248"/>
        <c:scaling>
          <c:orientation val="minMax"/>
        </c:scaling>
        <c:delete val="0"/>
        <c:axPos val="b"/>
        <c:majorTickMark val="out"/>
        <c:minorTickMark val="none"/>
        <c:tickLblPos val="nextTo"/>
        <c:crossAx val="63494784"/>
        <c:crosses val="autoZero"/>
        <c:auto val="1"/>
        <c:lblAlgn val="ctr"/>
        <c:lblOffset val="100"/>
        <c:noMultiLvlLbl val="0"/>
      </c:catAx>
      <c:valAx>
        <c:axId val="63494784"/>
        <c:scaling>
          <c:orientation val="minMax"/>
          <c:min val="7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34932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Предприятия, осуществляющие организацию работ по подготовке проектной документации, стоимость которой по одному договору:</a:t>
            </a:r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организаций осуществляющих организацию работ по подготовке проектной документации, стоимость которой по одному договору:</c:v>
                </c:pt>
              </c:strCache>
            </c:strRef>
          </c:tx>
          <c:dPt>
            <c:idx val="1"/>
            <c:bubble3D val="0"/>
            <c:spPr>
              <a:pattFill prst="pct30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2"/>
            <c:bubble3D val="0"/>
            <c:spPr>
              <a:pattFill prst="smGrid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dPt>
            <c:idx val="3"/>
            <c:bubble3D val="0"/>
            <c:spPr>
              <a:pattFill prst="ltDnDiag">
                <a:fgClr>
                  <a:schemeClr val="accent1"/>
                </a:fgClr>
                <a:bgClr>
                  <a:schemeClr val="bg1"/>
                </a:bgClr>
              </a:pattFill>
            </c:spPr>
          </c:dPt>
          <c:cat>
            <c:strRef>
              <c:f>Лист1!$A$2:$A$5</c:f>
              <c:strCache>
                <c:ptCount val="4"/>
                <c:pt idx="0">
                  <c:v>до 5 млн. руб.</c:v>
                </c:pt>
                <c:pt idx="1">
                  <c:v>до 25 млн. руб.</c:v>
                </c:pt>
                <c:pt idx="2">
                  <c:v>до 50 млн. руб.</c:v>
                </c:pt>
                <c:pt idx="3">
                  <c:v>до 300 млн. руб.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78</c:v>
                </c:pt>
                <c:pt idx="1">
                  <c:v>12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82843-9404-4E52-A024-44FD00640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 НП ППК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MarchenkoEA</dc:creator>
  <cp:lastModifiedBy>MarchenkoEA</cp:lastModifiedBy>
  <cp:revision>7</cp:revision>
  <cp:lastPrinted>2015-01-30T00:49:00Z</cp:lastPrinted>
  <dcterms:created xsi:type="dcterms:W3CDTF">2014-09-17T03:48:00Z</dcterms:created>
  <dcterms:modified xsi:type="dcterms:W3CDTF">2018-04-11T04:56:00Z</dcterms:modified>
</cp:coreProperties>
</file>