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9E" w:rsidRPr="00C244BC" w:rsidRDefault="00057C9E" w:rsidP="002A1A30">
      <w:pPr>
        <w:ind w:firstLine="709"/>
        <w:jc w:val="center"/>
        <w:rPr>
          <w:rFonts w:ascii="Times New Roman" w:eastAsia="Andale Sans UI" w:hAnsi="Times New Roman"/>
          <w:b/>
          <w:kern w:val="1"/>
          <w:lang w:eastAsia="fa-IR" w:bidi="fa-IR"/>
        </w:rPr>
      </w:pPr>
      <w:r w:rsidRPr="00C244BC">
        <w:rPr>
          <w:rFonts w:ascii="Times New Roman" w:eastAsia="Andale Sans UI" w:hAnsi="Times New Roman"/>
          <w:b/>
          <w:kern w:val="1"/>
          <w:lang w:eastAsia="fa-IR" w:bidi="fa-IR"/>
        </w:rPr>
        <w:t>АНАЛИЗ</w:t>
      </w:r>
    </w:p>
    <w:p w:rsidR="00057C9E" w:rsidRPr="00057C9E" w:rsidRDefault="00057C9E" w:rsidP="002A1A3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 xml:space="preserve">деятельности членов СРО НП </w:t>
      </w:r>
      <w:r w:rsidRPr="00C244BC">
        <w:rPr>
          <w:rFonts w:ascii="Times New Roman" w:eastAsia="Andale Sans UI" w:hAnsi="Times New Roman"/>
          <w:b/>
          <w:kern w:val="1"/>
          <w:lang w:eastAsia="fa-IR" w:bidi="fa-IR"/>
        </w:rPr>
        <w:t>ППК</w:t>
      </w:r>
    </w:p>
    <w:p w:rsidR="00057C9E" w:rsidRPr="00057C9E" w:rsidRDefault="00057C9E" w:rsidP="002A1A3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>на основе информации, представленной членами в форме отчетов</w:t>
      </w:r>
    </w:p>
    <w:p w:rsidR="00057C9E" w:rsidRPr="00057C9E" w:rsidRDefault="00057C9E" w:rsidP="002A1A3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>за 201</w:t>
      </w:r>
      <w:r w:rsidR="002A1A30">
        <w:rPr>
          <w:rFonts w:ascii="Times New Roman" w:eastAsia="Andale Sans UI" w:hAnsi="Times New Roman"/>
          <w:b/>
          <w:kern w:val="1"/>
          <w:lang w:eastAsia="fa-IR" w:bidi="fa-IR"/>
        </w:rPr>
        <w:t>0</w:t>
      </w: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 xml:space="preserve"> год</w:t>
      </w:r>
    </w:p>
    <w:p w:rsidR="00057C9E" w:rsidRPr="00057C9E" w:rsidRDefault="00057C9E" w:rsidP="002A1A3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</w:p>
    <w:p w:rsidR="00057C9E" w:rsidRPr="00057C9E" w:rsidRDefault="00057C9E" w:rsidP="008B4A5D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kern w:val="1"/>
          <w:lang w:eastAsia="fa-IR" w:bidi="fa-IR"/>
        </w:rPr>
        <w:t xml:space="preserve">Настоящий анализ деятельности членов СРО НП 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ППК</w:t>
      </w:r>
      <w:r w:rsidRPr="00057C9E">
        <w:rPr>
          <w:rFonts w:ascii="Times New Roman" w:eastAsia="Andale Sans UI" w:hAnsi="Times New Roman"/>
          <w:kern w:val="1"/>
          <w:lang w:eastAsia="fa-IR" w:bidi="fa-IR"/>
        </w:rPr>
        <w:t xml:space="preserve"> подготовлен в соответствии с пунктом 4 части 1 статьи 6 Федерального закона от 01.12.2007 № 315-ФЗ «О саморегулируемых организациях», пунктом 3.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4</w:t>
      </w:r>
      <w:r w:rsidRPr="00057C9E">
        <w:rPr>
          <w:rFonts w:ascii="Times New Roman" w:eastAsia="Andale Sans UI" w:hAnsi="Times New Roman"/>
          <w:kern w:val="1"/>
          <w:lang w:eastAsia="fa-IR" w:bidi="fa-IR"/>
        </w:rPr>
        <w:t xml:space="preserve"> Устава 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Партнерства</w:t>
      </w:r>
      <w:r w:rsidRPr="00057C9E">
        <w:rPr>
          <w:rFonts w:ascii="Times New Roman" w:eastAsia="Andale Sans UI" w:hAnsi="Times New Roman"/>
          <w:kern w:val="1"/>
          <w:lang w:eastAsia="fa-IR" w:bidi="fa-IR"/>
        </w:rPr>
        <w:t xml:space="preserve"> и 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Правилами контроля в области саморегулирования</w:t>
      </w:r>
      <w:r w:rsidRPr="00057C9E">
        <w:rPr>
          <w:rFonts w:ascii="Times New Roman" w:eastAsia="Andale Sans UI" w:hAnsi="Times New Roman"/>
          <w:kern w:val="1"/>
          <w:lang w:eastAsia="fa-IR" w:bidi="fa-IR"/>
        </w:rPr>
        <w:t xml:space="preserve"> на основании информации, представляемой членами в форме отчетов</w:t>
      </w:r>
      <w:r w:rsidR="002A1A30">
        <w:rPr>
          <w:rFonts w:ascii="Times New Roman" w:eastAsia="Andale Sans UI" w:hAnsi="Times New Roman"/>
          <w:kern w:val="1"/>
          <w:lang w:eastAsia="fa-IR" w:bidi="fa-IR"/>
        </w:rPr>
        <w:t xml:space="preserve"> о деятельности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.</w:t>
      </w:r>
    </w:p>
    <w:p w:rsidR="00057C9E" w:rsidRPr="00C244BC" w:rsidRDefault="00057C9E" w:rsidP="008B4A5D">
      <w:pPr>
        <w:ind w:firstLine="709"/>
        <w:jc w:val="both"/>
        <w:rPr>
          <w:rFonts w:ascii="Times New Roman" w:hAnsi="Times New Roman"/>
        </w:rPr>
      </w:pPr>
    </w:p>
    <w:p w:rsidR="00057C9E" w:rsidRPr="00C244BC" w:rsidRDefault="00057C9E" w:rsidP="008B4A5D">
      <w:pPr>
        <w:ind w:firstLine="709"/>
        <w:jc w:val="both"/>
        <w:rPr>
          <w:rFonts w:ascii="Times New Roman" w:hAnsi="Times New Roman"/>
        </w:rPr>
      </w:pPr>
      <w:r w:rsidRPr="00C244BC">
        <w:rPr>
          <w:rFonts w:ascii="Times New Roman" w:hAnsi="Times New Roman"/>
        </w:rPr>
        <w:t xml:space="preserve">На момент приобретения Партнерством статуса Саморегулируемой организации, в составе членов Партнерства было 61 предприятие проектной отрасли. </w:t>
      </w:r>
    </w:p>
    <w:p w:rsidR="00790F68" w:rsidRPr="00C244BC" w:rsidRDefault="00057C9E" w:rsidP="008B4A5D">
      <w:pPr>
        <w:ind w:firstLine="709"/>
        <w:jc w:val="both"/>
        <w:rPr>
          <w:rFonts w:ascii="Times New Roman" w:hAnsi="Times New Roman"/>
        </w:rPr>
      </w:pPr>
      <w:r w:rsidRPr="00C244BC">
        <w:rPr>
          <w:rFonts w:ascii="Times New Roman" w:hAnsi="Times New Roman"/>
        </w:rPr>
        <w:t xml:space="preserve">   В 2010 году в Партнерство были приняты 2</w:t>
      </w:r>
      <w:r w:rsidR="00790F68" w:rsidRPr="00C244BC">
        <w:rPr>
          <w:rFonts w:ascii="Times New Roman" w:hAnsi="Times New Roman"/>
        </w:rPr>
        <w:t>7</w:t>
      </w:r>
      <w:r w:rsidRPr="00C244BC">
        <w:rPr>
          <w:rFonts w:ascii="Times New Roman" w:hAnsi="Times New Roman"/>
        </w:rPr>
        <w:t xml:space="preserve"> предприятий</w:t>
      </w:r>
      <w:r w:rsidR="00790F68" w:rsidRPr="00C244BC">
        <w:rPr>
          <w:rFonts w:ascii="Times New Roman" w:hAnsi="Times New Roman"/>
        </w:rPr>
        <w:t xml:space="preserve">.  </w:t>
      </w:r>
    </w:p>
    <w:p w:rsidR="00057C9E" w:rsidRPr="00C244BC" w:rsidRDefault="00057C9E" w:rsidP="008B4A5D">
      <w:pPr>
        <w:ind w:firstLine="709"/>
        <w:jc w:val="both"/>
        <w:rPr>
          <w:rFonts w:ascii="Times New Roman" w:hAnsi="Times New Roman"/>
        </w:rPr>
      </w:pPr>
      <w:r w:rsidRPr="00C244BC">
        <w:rPr>
          <w:rFonts w:ascii="Times New Roman" w:hAnsi="Times New Roman"/>
        </w:rPr>
        <w:t xml:space="preserve">За этот же период </w:t>
      </w:r>
      <w:r w:rsidR="00790F68" w:rsidRPr="00C244BC">
        <w:rPr>
          <w:rFonts w:ascii="Times New Roman" w:hAnsi="Times New Roman"/>
        </w:rPr>
        <w:t>4</w:t>
      </w:r>
      <w:r w:rsidR="00DE011D">
        <w:rPr>
          <w:rFonts w:ascii="Times New Roman" w:hAnsi="Times New Roman"/>
        </w:rPr>
        <w:t xml:space="preserve"> компании</w:t>
      </w:r>
      <w:r w:rsidRPr="00C244BC">
        <w:rPr>
          <w:rFonts w:ascii="Times New Roman" w:hAnsi="Times New Roman"/>
        </w:rPr>
        <w:t xml:space="preserve"> прекратили членство в Партнерстве, из их числа </w:t>
      </w:r>
      <w:r w:rsidR="00790F68" w:rsidRPr="00C244BC">
        <w:rPr>
          <w:rFonts w:ascii="Times New Roman" w:hAnsi="Times New Roman"/>
        </w:rPr>
        <w:t>3</w:t>
      </w:r>
      <w:r w:rsidRPr="00C244BC">
        <w:rPr>
          <w:rFonts w:ascii="Times New Roman" w:hAnsi="Times New Roman"/>
        </w:rPr>
        <w:t xml:space="preserve"> компании вышли из Партнерства по заявлению о добровольном выходе (по разным причинам, таким, как например - ликвидация фирмы, прекращение проектной деятельности) и </w:t>
      </w:r>
      <w:r w:rsidR="00790F68" w:rsidRPr="00C244BC">
        <w:rPr>
          <w:rFonts w:ascii="Times New Roman" w:hAnsi="Times New Roman"/>
        </w:rPr>
        <w:t>1</w:t>
      </w:r>
      <w:r w:rsidR="00DE011D">
        <w:rPr>
          <w:rFonts w:ascii="Times New Roman" w:hAnsi="Times New Roman"/>
        </w:rPr>
        <w:t xml:space="preserve"> компания</w:t>
      </w:r>
      <w:r w:rsidRPr="00C244BC">
        <w:rPr>
          <w:rFonts w:ascii="Times New Roman" w:hAnsi="Times New Roman"/>
        </w:rPr>
        <w:t xml:space="preserve"> был</w:t>
      </w:r>
      <w:r w:rsidR="00DE011D">
        <w:rPr>
          <w:rFonts w:ascii="Times New Roman" w:hAnsi="Times New Roman"/>
        </w:rPr>
        <w:t>а</w:t>
      </w:r>
      <w:r w:rsidRPr="00C244BC">
        <w:rPr>
          <w:rFonts w:ascii="Times New Roman" w:hAnsi="Times New Roman"/>
        </w:rPr>
        <w:t xml:space="preserve"> исключен</w:t>
      </w:r>
      <w:r w:rsidR="00DE011D">
        <w:rPr>
          <w:rFonts w:ascii="Times New Roman" w:hAnsi="Times New Roman"/>
        </w:rPr>
        <w:t>а</w:t>
      </w:r>
      <w:r w:rsidRPr="00C244BC">
        <w:rPr>
          <w:rFonts w:ascii="Times New Roman" w:hAnsi="Times New Roman"/>
        </w:rPr>
        <w:t xml:space="preserve"> из Партнерства за несоблюдение условий членства, установленных Партнерством.</w:t>
      </w:r>
    </w:p>
    <w:p w:rsidR="00057C9E" w:rsidRPr="00C244BC" w:rsidRDefault="00057C9E" w:rsidP="008B4A5D">
      <w:pPr>
        <w:ind w:firstLine="709"/>
        <w:jc w:val="both"/>
        <w:rPr>
          <w:rFonts w:ascii="Times New Roman" w:hAnsi="Times New Roman"/>
        </w:rPr>
      </w:pPr>
      <w:r w:rsidRPr="00C244BC">
        <w:rPr>
          <w:rFonts w:ascii="Times New Roman" w:eastAsia="Times New Roman" w:hAnsi="Times New Roman"/>
          <w:bCs/>
          <w:lang w:eastAsia="ru-RU"/>
        </w:rPr>
        <w:t xml:space="preserve">  </w:t>
      </w:r>
      <w:r w:rsidR="00695E2A" w:rsidRPr="00C244BC">
        <w:rPr>
          <w:rFonts w:ascii="Times New Roman" w:eastAsia="Times New Roman" w:hAnsi="Times New Roman"/>
          <w:bCs/>
          <w:lang w:eastAsia="ru-RU"/>
        </w:rPr>
        <w:t xml:space="preserve">По состоянию на 01.01.2011г. членами СРО НП ППК являются 84 </w:t>
      </w:r>
      <w:proofErr w:type="gramStart"/>
      <w:r w:rsidR="00695E2A" w:rsidRPr="00C244BC">
        <w:rPr>
          <w:rFonts w:ascii="Times New Roman" w:eastAsia="Times New Roman" w:hAnsi="Times New Roman"/>
          <w:bCs/>
          <w:lang w:eastAsia="ru-RU"/>
        </w:rPr>
        <w:t>юридических</w:t>
      </w:r>
      <w:proofErr w:type="gramEnd"/>
      <w:r w:rsidR="00695E2A" w:rsidRPr="00C244BC">
        <w:rPr>
          <w:rFonts w:ascii="Times New Roman" w:eastAsia="Times New Roman" w:hAnsi="Times New Roman"/>
          <w:bCs/>
          <w:lang w:eastAsia="ru-RU"/>
        </w:rPr>
        <w:t xml:space="preserve"> лиц</w:t>
      </w:r>
      <w:r w:rsidR="00DE011D">
        <w:rPr>
          <w:rFonts w:ascii="Times New Roman" w:eastAsia="Times New Roman" w:hAnsi="Times New Roman"/>
          <w:bCs/>
          <w:lang w:eastAsia="ru-RU"/>
        </w:rPr>
        <w:t>а.</w:t>
      </w:r>
      <w:r w:rsidRPr="00C244BC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57C9E" w:rsidRPr="00C244BC" w:rsidRDefault="00057C9E" w:rsidP="008B4A5D">
      <w:pPr>
        <w:ind w:firstLine="709"/>
        <w:jc w:val="both"/>
        <w:rPr>
          <w:rFonts w:ascii="Times New Roman" w:hAnsi="Times New Roman"/>
        </w:rPr>
      </w:pPr>
      <w:r w:rsidRPr="00C244BC">
        <w:rPr>
          <w:rFonts w:ascii="Times New Roman" w:hAnsi="Times New Roman"/>
        </w:rPr>
        <w:t xml:space="preserve">   Хотя большинство компаний - членов Партнерства расположены и ведут основную деятельность в г. Владивостоке, членами нашего Партнерства представлены практически все города и районы Приморского края, что позволяет говорить о Партнерстве как о региональной Саморегулируемой организации проектировщиков.</w:t>
      </w:r>
    </w:p>
    <w:p w:rsidR="00D3561F" w:rsidRPr="00C244BC" w:rsidRDefault="001C504C" w:rsidP="00C244BC">
      <w:pPr>
        <w:ind w:firstLine="709"/>
        <w:rPr>
          <w:rFonts w:ascii="Times New Roman" w:hAnsi="Times New Roman"/>
        </w:rPr>
      </w:pPr>
    </w:p>
    <w:p w:rsidR="00185983" w:rsidRPr="00C244BC" w:rsidRDefault="00185983" w:rsidP="00C244BC">
      <w:pPr>
        <w:ind w:firstLine="709"/>
        <w:rPr>
          <w:rFonts w:ascii="Times New Roman" w:hAnsi="Times New Roman"/>
        </w:rPr>
      </w:pPr>
      <w:r w:rsidRPr="00C244BC">
        <w:rPr>
          <w:rFonts w:ascii="Times New Roman" w:hAnsi="Times New Roman"/>
          <w:noProof/>
          <w:lang w:eastAsia="ru-RU"/>
        </w:rPr>
        <w:drawing>
          <wp:inline distT="0" distB="0" distL="0" distR="0" wp14:anchorId="12C62B0C" wp14:editId="576E15B2">
            <wp:extent cx="5486400" cy="33242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95E2A" w:rsidRPr="00C244BC" w:rsidRDefault="00695E2A" w:rsidP="00C244BC">
      <w:pPr>
        <w:ind w:firstLine="709"/>
        <w:rPr>
          <w:rFonts w:ascii="Times New Roman" w:hAnsi="Times New Roman"/>
        </w:rPr>
      </w:pPr>
    </w:p>
    <w:p w:rsidR="00695E2A" w:rsidRPr="00C244BC" w:rsidRDefault="00695E2A" w:rsidP="008B4A5D">
      <w:pPr>
        <w:ind w:firstLine="709"/>
        <w:jc w:val="both"/>
        <w:rPr>
          <w:rFonts w:ascii="Times New Roman" w:hAnsi="Times New Roman"/>
        </w:rPr>
      </w:pPr>
      <w:r w:rsidRPr="00C244BC">
        <w:rPr>
          <w:rFonts w:ascii="Times New Roman" w:eastAsia="Times New Roman" w:hAnsi="Times New Roman"/>
          <w:bCs/>
          <w:lang w:eastAsia="ru-RU"/>
        </w:rPr>
        <w:t xml:space="preserve">Партнерство объединяет </w:t>
      </w:r>
      <w:r w:rsidRPr="00C244BC">
        <w:rPr>
          <w:rFonts w:ascii="Times New Roman" w:hAnsi="Times New Roman"/>
        </w:rPr>
        <w:t>представителей, как крупного, так и среднего и малого бизнеса.</w:t>
      </w:r>
      <w:r w:rsidR="00C244BC" w:rsidRPr="00C244BC">
        <w:rPr>
          <w:rFonts w:ascii="Times New Roman" w:hAnsi="Times New Roman"/>
        </w:rPr>
        <w:t xml:space="preserve"> </w:t>
      </w:r>
      <w:r w:rsidRPr="00C244BC">
        <w:rPr>
          <w:rFonts w:ascii="Times New Roman" w:hAnsi="Times New Roman"/>
        </w:rPr>
        <w:t xml:space="preserve"> </w:t>
      </w:r>
    </w:p>
    <w:p w:rsidR="00695E2A" w:rsidRPr="00C244BC" w:rsidRDefault="00695E2A" w:rsidP="008B4A5D">
      <w:pPr>
        <w:ind w:firstLine="709"/>
        <w:jc w:val="both"/>
        <w:rPr>
          <w:rFonts w:ascii="Times New Roman" w:hAnsi="Times New Roman"/>
        </w:rPr>
      </w:pPr>
    </w:p>
    <w:p w:rsidR="00695E2A" w:rsidRPr="00C244BC" w:rsidRDefault="00695E2A" w:rsidP="008B4A5D">
      <w:pPr>
        <w:ind w:firstLine="709"/>
        <w:jc w:val="both"/>
        <w:rPr>
          <w:rFonts w:ascii="Times New Roman" w:hAnsi="Times New Roman"/>
          <w:color w:val="FF0000"/>
        </w:rPr>
      </w:pPr>
      <w:r w:rsidRPr="00C244BC">
        <w:rPr>
          <w:rFonts w:ascii="Times New Roman" w:hAnsi="Times New Roman"/>
        </w:rPr>
        <w:t>Общее количество работников, занятых подготовкой проектной  документации, согласно представленной информации по каждой организации,  варьируется от 3 до 21.</w:t>
      </w:r>
      <w:r w:rsidR="00196712" w:rsidRPr="00C244BC">
        <w:rPr>
          <w:rFonts w:ascii="Times New Roman" w:hAnsi="Times New Roman"/>
        </w:rPr>
        <w:t xml:space="preserve"> </w:t>
      </w:r>
      <w:r w:rsidR="00196712" w:rsidRPr="00C244BC">
        <w:rPr>
          <w:rFonts w:ascii="Times New Roman" w:hAnsi="Times New Roman"/>
        </w:rPr>
        <w:lastRenderedPageBreak/>
        <w:t>Как видно из диаграммы в большинстве организаций занято подготовкой проектной документации около 10 специалистов.</w:t>
      </w:r>
    </w:p>
    <w:p w:rsidR="00695E2A" w:rsidRPr="00C244BC" w:rsidRDefault="00695E2A" w:rsidP="00C244BC">
      <w:pPr>
        <w:ind w:firstLine="709"/>
        <w:rPr>
          <w:rFonts w:ascii="Times New Roman" w:hAnsi="Times New Roman"/>
          <w:color w:val="FF0000"/>
        </w:rPr>
      </w:pPr>
    </w:p>
    <w:p w:rsidR="00695E2A" w:rsidRPr="00C244BC" w:rsidRDefault="00695E2A" w:rsidP="00C244BC">
      <w:pPr>
        <w:ind w:firstLine="709"/>
        <w:rPr>
          <w:rFonts w:ascii="Times New Roman" w:hAnsi="Times New Roman"/>
          <w:color w:val="FF0000"/>
        </w:rPr>
      </w:pPr>
      <w:r w:rsidRPr="00C244BC">
        <w:rPr>
          <w:rFonts w:ascii="Times New Roman" w:hAnsi="Times New Roman"/>
          <w:noProof/>
          <w:color w:val="FF0000"/>
          <w:lang w:eastAsia="ru-RU"/>
        </w:rPr>
        <w:drawing>
          <wp:inline distT="0" distB="0" distL="0" distR="0" wp14:anchorId="354324B2" wp14:editId="6BE3866C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5E2A" w:rsidRPr="00C244BC" w:rsidRDefault="00695E2A" w:rsidP="00C244BC">
      <w:pPr>
        <w:ind w:firstLine="709"/>
        <w:rPr>
          <w:rFonts w:ascii="Times New Roman" w:hAnsi="Times New Roman"/>
        </w:rPr>
      </w:pPr>
    </w:p>
    <w:p w:rsidR="00C244BC" w:rsidRPr="00C244BC" w:rsidRDefault="00196712" w:rsidP="008B4A5D">
      <w:pPr>
        <w:ind w:firstLine="709"/>
        <w:jc w:val="both"/>
        <w:rPr>
          <w:rFonts w:ascii="Times New Roman" w:hAnsi="Times New Roman"/>
        </w:rPr>
      </w:pPr>
      <w:r w:rsidRPr="00C244BC">
        <w:rPr>
          <w:rFonts w:ascii="Times New Roman" w:hAnsi="Times New Roman"/>
        </w:rPr>
        <w:t xml:space="preserve">Многие из этих компаний принимают участие в проектировании объектов Саммита АТЭС.  </w:t>
      </w:r>
      <w:r w:rsidR="00C244BC" w:rsidRPr="00C244BC">
        <w:rPr>
          <w:rFonts w:ascii="Times New Roman" w:hAnsi="Times New Roman"/>
        </w:rPr>
        <w:t xml:space="preserve">Три организации, входящие в </w:t>
      </w:r>
      <w:r w:rsidR="00DE011D">
        <w:rPr>
          <w:rFonts w:ascii="Times New Roman" w:hAnsi="Times New Roman"/>
        </w:rPr>
        <w:t xml:space="preserve">состав </w:t>
      </w:r>
      <w:r w:rsidR="00C244BC" w:rsidRPr="00C244BC">
        <w:rPr>
          <w:rFonts w:ascii="Times New Roman" w:hAnsi="Times New Roman"/>
        </w:rPr>
        <w:t>Партнерств</w:t>
      </w:r>
      <w:r w:rsidR="00DE011D">
        <w:rPr>
          <w:rFonts w:ascii="Times New Roman" w:hAnsi="Times New Roman"/>
        </w:rPr>
        <w:t>а</w:t>
      </w:r>
      <w:r w:rsidR="00C244BC" w:rsidRPr="00C244BC">
        <w:rPr>
          <w:rFonts w:ascii="Times New Roman" w:hAnsi="Times New Roman"/>
        </w:rPr>
        <w:t xml:space="preserve">, имеют сертификаты системы менеджмента качества в соответствии со стандартом ISO 9001 (ГОСТ </w:t>
      </w:r>
      <w:proofErr w:type="gramStart"/>
      <w:r w:rsidR="00C244BC" w:rsidRPr="00C244BC">
        <w:rPr>
          <w:rFonts w:ascii="Times New Roman" w:hAnsi="Times New Roman"/>
        </w:rPr>
        <w:t>Р</w:t>
      </w:r>
      <w:proofErr w:type="gramEnd"/>
      <w:r w:rsidR="00C244BC" w:rsidRPr="00C244BC">
        <w:rPr>
          <w:rFonts w:ascii="Times New Roman" w:hAnsi="Times New Roman"/>
        </w:rPr>
        <w:t xml:space="preserve"> ИСО 9001).</w:t>
      </w:r>
    </w:p>
    <w:p w:rsidR="00DE011D" w:rsidRDefault="00DE011D" w:rsidP="008B4A5D">
      <w:pPr>
        <w:ind w:firstLine="709"/>
        <w:jc w:val="both"/>
        <w:rPr>
          <w:rFonts w:ascii="Times New Roman" w:hAnsi="Times New Roman"/>
        </w:rPr>
      </w:pPr>
    </w:p>
    <w:p w:rsidR="00196712" w:rsidRPr="00C244BC" w:rsidRDefault="00196712" w:rsidP="008B4A5D">
      <w:pPr>
        <w:ind w:firstLine="709"/>
        <w:jc w:val="both"/>
        <w:rPr>
          <w:rFonts w:ascii="Times New Roman" w:hAnsi="Times New Roman"/>
        </w:rPr>
      </w:pPr>
      <w:r w:rsidRPr="00C244BC">
        <w:rPr>
          <w:rFonts w:ascii="Times New Roman" w:hAnsi="Times New Roman"/>
        </w:rPr>
        <w:t xml:space="preserve">Основная часть организаций осуществляет </w:t>
      </w:r>
      <w:r w:rsidR="00DE011D">
        <w:rPr>
          <w:rFonts w:ascii="Times New Roman" w:hAnsi="Times New Roman"/>
        </w:rPr>
        <w:t>р</w:t>
      </w:r>
      <w:r w:rsidR="00DE011D" w:rsidRPr="00DE011D">
        <w:rPr>
          <w:rFonts w:ascii="Times New Roman" w:hAnsi="Times New Roman"/>
        </w:rPr>
        <w:t>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Pr="00C244BC">
        <w:rPr>
          <w:rFonts w:ascii="Times New Roman" w:hAnsi="Times New Roman"/>
        </w:rPr>
        <w:t xml:space="preserve">, </w:t>
      </w:r>
      <w:r w:rsidR="00C244BC" w:rsidRPr="00C244BC">
        <w:rPr>
          <w:rFonts w:ascii="Times New Roman" w:hAnsi="Times New Roman"/>
        </w:rPr>
        <w:t>стоимость,</w:t>
      </w:r>
      <w:r w:rsidRPr="00C244BC">
        <w:rPr>
          <w:rFonts w:ascii="Times New Roman" w:hAnsi="Times New Roman"/>
        </w:rPr>
        <w:t xml:space="preserve"> котор</w:t>
      </w:r>
      <w:r w:rsidR="004D07C0">
        <w:rPr>
          <w:rFonts w:ascii="Times New Roman" w:hAnsi="Times New Roman"/>
        </w:rPr>
        <w:t>ых</w:t>
      </w:r>
      <w:r w:rsidRPr="00C244BC">
        <w:rPr>
          <w:rFonts w:ascii="Times New Roman" w:hAnsi="Times New Roman"/>
        </w:rPr>
        <w:t xml:space="preserve"> по одному договору не превышает пять миллионов рублей. </w:t>
      </w:r>
      <w:r w:rsidR="002759E1">
        <w:rPr>
          <w:rFonts w:ascii="Times New Roman" w:hAnsi="Times New Roman"/>
        </w:rPr>
        <w:t>При этом</w:t>
      </w:r>
      <w:r w:rsidRPr="00C244BC">
        <w:rPr>
          <w:rFonts w:ascii="Times New Roman" w:hAnsi="Times New Roman"/>
        </w:rPr>
        <w:t xml:space="preserve"> на сегодняшний день уже </w:t>
      </w:r>
      <w:r w:rsidR="00C244BC" w:rsidRPr="00C244BC">
        <w:rPr>
          <w:rFonts w:ascii="Times New Roman" w:hAnsi="Times New Roman"/>
        </w:rPr>
        <w:t>две организации-члены</w:t>
      </w:r>
      <w:r w:rsidRPr="00C244BC">
        <w:rPr>
          <w:rFonts w:ascii="Times New Roman" w:hAnsi="Times New Roman"/>
        </w:rPr>
        <w:t xml:space="preserve"> СРО НП ППК осуществляют организацию работ по подготовке проектной документации, стоимость которой по одному договору не превышает двадцать пять миллионов рублей.</w:t>
      </w:r>
    </w:p>
    <w:p w:rsidR="00C244BC" w:rsidRDefault="00C244BC" w:rsidP="008B4A5D">
      <w:pPr>
        <w:jc w:val="both"/>
        <w:rPr>
          <w:rFonts w:ascii="Times New Roman" w:hAnsi="Times New Roman"/>
        </w:rPr>
      </w:pPr>
    </w:p>
    <w:p w:rsidR="00C244BC" w:rsidRDefault="008B4A5D" w:rsidP="002A1A30">
      <w:pPr>
        <w:ind w:firstLine="709"/>
        <w:jc w:val="both"/>
        <w:rPr>
          <w:rFonts w:ascii="Times New Roman" w:hAnsi="Times New Roman"/>
        </w:rPr>
      </w:pPr>
      <w:r w:rsidRPr="008B4A5D">
        <w:rPr>
          <w:rFonts w:ascii="Times New Roman" w:hAnsi="Times New Roman"/>
        </w:rPr>
        <w:t>У всех членов СРО</w:t>
      </w:r>
      <w:r>
        <w:rPr>
          <w:rFonts w:ascii="Times New Roman" w:hAnsi="Times New Roman"/>
        </w:rPr>
        <w:t xml:space="preserve"> НП ППК</w:t>
      </w:r>
      <w:r w:rsidRPr="008B4A5D">
        <w:rPr>
          <w:rFonts w:ascii="Times New Roman" w:hAnsi="Times New Roman"/>
        </w:rPr>
        <w:t xml:space="preserve"> имеются в наличии договора страхования гражданской ответственности, которая может наступить в случае причинения вреда вследствие недостатков выполненных работ.</w:t>
      </w: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  <w:bookmarkStart w:id="0" w:name="_GoBack"/>
      <w:bookmarkEnd w:id="0"/>
    </w:p>
    <w:sectPr w:rsidR="008B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9E"/>
    <w:rsid w:val="00057C9E"/>
    <w:rsid w:val="00185983"/>
    <w:rsid w:val="00196712"/>
    <w:rsid w:val="001C504C"/>
    <w:rsid w:val="002759E1"/>
    <w:rsid w:val="002A1A30"/>
    <w:rsid w:val="00493B11"/>
    <w:rsid w:val="004D07C0"/>
    <w:rsid w:val="00695E2A"/>
    <w:rsid w:val="00763CF0"/>
    <w:rsid w:val="00790F68"/>
    <w:rsid w:val="008B4A5D"/>
    <w:rsid w:val="00C244BC"/>
    <w:rsid w:val="00C64477"/>
    <w:rsid w:val="00D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9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83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9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83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География предприятий-членов СРО НП ППК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6552566345873443E-2"/>
          <c:y val="0.22750999875015623"/>
          <c:w val="0.40731280985710122"/>
          <c:h val="0.7012862830161560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pattFill prst="pct2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smGrid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lt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3"/>
            <c:bubble3D val="0"/>
            <c:spPr>
              <a:pattFill prst="smCheck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pattFill prst="zigZ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5"/>
            <c:bubble3D val="0"/>
            <c:spPr>
              <a:pattFill prst="plaid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6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7"/>
            <c:bubble3D val="0"/>
            <c:spPr>
              <a:pattFill prst="openDmnd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8"/>
            <c:bubble3D val="0"/>
            <c:spPr>
              <a:pattFill prst="trellis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cat>
            <c:strRef>
              <c:f>Лист1!$A$2:$A$11</c:f>
              <c:strCache>
                <c:ptCount val="10"/>
                <c:pt idx="0">
                  <c:v>г. Артем</c:v>
                </c:pt>
                <c:pt idx="1">
                  <c:v>г. Большой Камень</c:v>
                </c:pt>
                <c:pt idx="2">
                  <c:v>г. Дальнегорск</c:v>
                </c:pt>
                <c:pt idx="3">
                  <c:v>г. Лесозаводск</c:v>
                </c:pt>
                <c:pt idx="4">
                  <c:v>Г. Находка</c:v>
                </c:pt>
                <c:pt idx="5">
                  <c:v>г. Спасск-Дальний</c:v>
                </c:pt>
                <c:pt idx="6">
                  <c:v>г. Уссурийск</c:v>
                </c:pt>
                <c:pt idx="7">
                  <c:v>ЗАТО г. Фокино</c:v>
                </c:pt>
                <c:pt idx="8">
                  <c:v>пгт Лучегорск</c:v>
                </c:pt>
                <c:pt idx="9">
                  <c:v>г. Владивосток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7</c:v>
                </c:pt>
                <c:pt idx="7">
                  <c:v>2</c:v>
                </c:pt>
                <c:pt idx="8">
                  <c:v>1</c:v>
                </c:pt>
                <c:pt idx="9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662146398366876"/>
          <c:y val="0.16690632420947382"/>
          <c:w val="0.4094896471274424"/>
          <c:h val="0.79694100737407825"/>
        </c:manualLayout>
      </c:layout>
      <c:overlay val="0"/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организаций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 5 работников</c:v>
                </c:pt>
                <c:pt idx="1">
                  <c:v>До 10 работнико</c:v>
                </c:pt>
                <c:pt idx="2">
                  <c:v>До 15 работников</c:v>
                </c:pt>
                <c:pt idx="3">
                  <c:v>До 20 работников</c:v>
                </c:pt>
                <c:pt idx="4">
                  <c:v>Свыше 20 работников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34</c:v>
                </c:pt>
                <c:pt idx="2">
                  <c:v>21</c:v>
                </c:pt>
                <c:pt idx="3">
                  <c:v>9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423360"/>
        <c:axId val="116568832"/>
      </c:barChart>
      <c:catAx>
        <c:axId val="97423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6568832"/>
        <c:crosses val="autoZero"/>
        <c:auto val="1"/>
        <c:lblAlgn val="ctr"/>
        <c:lblOffset val="100"/>
        <c:noMultiLvlLbl val="0"/>
      </c:catAx>
      <c:valAx>
        <c:axId val="11656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4233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MarchenkoEA</dc:creator>
  <cp:lastModifiedBy>MarchenkoEA</cp:lastModifiedBy>
  <cp:revision>6</cp:revision>
  <cp:lastPrinted>2015-01-30T00:52:00Z</cp:lastPrinted>
  <dcterms:created xsi:type="dcterms:W3CDTF">2014-09-01T03:23:00Z</dcterms:created>
  <dcterms:modified xsi:type="dcterms:W3CDTF">2018-04-11T04:56:00Z</dcterms:modified>
</cp:coreProperties>
</file>