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1C" w:rsidRDefault="008F111C" w:rsidP="00AF7A82">
      <w:pPr>
        <w:tabs>
          <w:tab w:val="left" w:pos="1080"/>
        </w:tabs>
        <w:ind w:left="4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11C" w:rsidRPr="00910F1E" w:rsidRDefault="008F111C" w:rsidP="00AF7A82">
      <w:pPr>
        <w:tabs>
          <w:tab w:val="left" w:pos="1080"/>
        </w:tabs>
        <w:suppressAutoHyphens/>
        <w:ind w:left="450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910F1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У</w:t>
      </w:r>
      <w:r w:rsidR="00910F1E" w:rsidRPr="00910F1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тверждено</w:t>
      </w:r>
    </w:p>
    <w:p w:rsidR="008F111C" w:rsidRPr="00FA0C20" w:rsidRDefault="008F111C" w:rsidP="00AF7A82">
      <w:pPr>
        <w:tabs>
          <w:tab w:val="left" w:pos="1080"/>
        </w:tabs>
        <w:suppressAutoHyphens/>
        <w:ind w:left="450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FA0C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Советом Ассоциации </w:t>
      </w:r>
    </w:p>
    <w:p w:rsidR="008F111C" w:rsidRPr="00FA0C20" w:rsidRDefault="008F111C" w:rsidP="00AF7A82">
      <w:pPr>
        <w:tabs>
          <w:tab w:val="left" w:pos="1080"/>
        </w:tabs>
        <w:suppressAutoHyphens/>
        <w:ind w:left="450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FA0C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Саморегулируем</w:t>
      </w:r>
      <w:r w:rsidR="008725A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ой</w:t>
      </w:r>
      <w:r w:rsidRPr="00FA0C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организаци</w:t>
      </w:r>
      <w:r w:rsidR="008725A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и</w:t>
      </w:r>
      <w:r w:rsidRPr="00FA0C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</w:t>
      </w:r>
    </w:p>
    <w:p w:rsidR="008F111C" w:rsidRPr="00FA0C20" w:rsidRDefault="008F111C" w:rsidP="00AF7A82">
      <w:pPr>
        <w:tabs>
          <w:tab w:val="left" w:pos="1080"/>
        </w:tabs>
        <w:suppressAutoHyphens/>
        <w:ind w:left="450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FA0C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«Проектировщики Приморского края»</w:t>
      </w:r>
    </w:p>
    <w:p w:rsidR="008F111C" w:rsidRPr="00FA0C20" w:rsidRDefault="008F111C" w:rsidP="00AF7A82">
      <w:pPr>
        <w:suppressAutoHyphens/>
        <w:ind w:left="450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FA0C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Протокол № </w:t>
      </w:r>
      <w:r w:rsidR="005A600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41</w:t>
      </w:r>
      <w:r w:rsidR="00B2038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-В </w:t>
      </w:r>
      <w:r w:rsidRPr="00FA0C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от </w:t>
      </w:r>
      <w:r w:rsidRPr="00FA0C20">
        <w:rPr>
          <w:rFonts w:ascii="Times New Roman" w:eastAsia="Calibri" w:hAnsi="Times New Roman" w:cs="Times New Roman"/>
          <w:kern w:val="1"/>
          <w:sz w:val="24"/>
          <w:szCs w:val="24"/>
        </w:rPr>
        <w:t>«</w:t>
      </w:r>
      <w:r w:rsidR="00B20384" w:rsidRPr="00B20384">
        <w:rPr>
          <w:rFonts w:ascii="Times New Roman" w:eastAsia="Calibri" w:hAnsi="Times New Roman" w:cs="Times New Roman"/>
          <w:kern w:val="1"/>
          <w:sz w:val="24"/>
          <w:szCs w:val="24"/>
        </w:rPr>
        <w:t>2</w:t>
      </w:r>
      <w:r w:rsidR="005A600A">
        <w:rPr>
          <w:rFonts w:ascii="Times New Roman" w:eastAsia="Calibri" w:hAnsi="Times New Roman" w:cs="Times New Roman"/>
          <w:kern w:val="1"/>
          <w:sz w:val="24"/>
          <w:szCs w:val="24"/>
        </w:rPr>
        <w:t>6</w:t>
      </w:r>
      <w:r w:rsidRPr="00B20384">
        <w:rPr>
          <w:rFonts w:ascii="Times New Roman" w:eastAsia="Calibri" w:hAnsi="Times New Roman" w:cs="Times New Roman"/>
          <w:kern w:val="1"/>
          <w:sz w:val="24"/>
          <w:szCs w:val="24"/>
        </w:rPr>
        <w:t xml:space="preserve">» </w:t>
      </w:r>
      <w:r w:rsidR="005A600A">
        <w:rPr>
          <w:rFonts w:ascii="Times New Roman" w:eastAsia="Calibri" w:hAnsi="Times New Roman" w:cs="Times New Roman"/>
          <w:kern w:val="1"/>
          <w:sz w:val="24"/>
          <w:szCs w:val="24"/>
        </w:rPr>
        <w:t>сентября</w:t>
      </w:r>
      <w:r w:rsidRPr="00B20384">
        <w:rPr>
          <w:rFonts w:ascii="Times New Roman" w:eastAsia="Calibri" w:hAnsi="Times New Roman" w:cs="Times New Roman"/>
          <w:kern w:val="1"/>
          <w:sz w:val="24"/>
          <w:szCs w:val="24"/>
        </w:rPr>
        <w:t xml:space="preserve"> 201</w:t>
      </w:r>
      <w:r w:rsidR="00B20384" w:rsidRPr="00B20384">
        <w:rPr>
          <w:rFonts w:ascii="Times New Roman" w:eastAsia="Calibri" w:hAnsi="Times New Roman" w:cs="Times New Roman"/>
          <w:kern w:val="1"/>
          <w:sz w:val="24"/>
          <w:szCs w:val="24"/>
        </w:rPr>
        <w:t>7</w:t>
      </w:r>
      <w:r w:rsidRPr="00B20384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г</w:t>
      </w:r>
      <w:r w:rsidRPr="00FA0C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.</w:t>
      </w:r>
    </w:p>
    <w:p w:rsidR="008F111C" w:rsidRPr="00FA0C20" w:rsidRDefault="008F111C" w:rsidP="00AF7A82">
      <w:pPr>
        <w:tabs>
          <w:tab w:val="left" w:pos="1080"/>
        </w:tabs>
        <w:suppressAutoHyphens/>
        <w:ind w:left="450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FA0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Председатель Совета </w:t>
      </w:r>
      <w:r w:rsidRPr="00FA0C2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Ассоциации </w:t>
      </w:r>
    </w:p>
    <w:p w:rsidR="008F111C" w:rsidRPr="00FA0C20" w:rsidRDefault="008F111C" w:rsidP="00AF7A8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В.В. </w:t>
      </w:r>
      <w:proofErr w:type="spellStart"/>
      <w:r w:rsidRPr="00FA0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Прокуров</w:t>
      </w:r>
      <w:proofErr w:type="spellEnd"/>
    </w:p>
    <w:p w:rsidR="008F111C" w:rsidRDefault="008F111C" w:rsidP="00AF7A82">
      <w:pPr>
        <w:tabs>
          <w:tab w:val="left" w:pos="1080"/>
        </w:tabs>
        <w:ind w:left="4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D0E" w:rsidRDefault="009B2D0E" w:rsidP="00AF7A82">
      <w:pPr>
        <w:tabs>
          <w:tab w:val="left" w:pos="1080"/>
        </w:tabs>
        <w:ind w:left="4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11C" w:rsidRDefault="00FA0C20" w:rsidP="00AF7A82">
      <w:pPr>
        <w:tabs>
          <w:tab w:val="left" w:pos="1080"/>
        </w:tabs>
        <w:ind w:left="45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853E0F" w:rsidRDefault="00853E0F" w:rsidP="00AF7A82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53E0F" w:rsidRDefault="00853E0F" w:rsidP="00AF7A82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53E0F" w:rsidRDefault="00853E0F" w:rsidP="00AF7A82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725A3" w:rsidRDefault="008725A3" w:rsidP="00AF7A82">
      <w:pPr>
        <w:rPr>
          <w:rFonts w:ascii="Times New Roman" w:eastAsia="Times New Roman" w:hAnsi="Times New Roman" w:cs="Times New Roman"/>
          <w:bCs/>
          <w:color w:val="222222"/>
          <w:sz w:val="32"/>
          <w:szCs w:val="32"/>
          <w:u w:val="single"/>
          <w:lang w:eastAsia="ru-RU"/>
        </w:rPr>
      </w:pPr>
    </w:p>
    <w:p w:rsidR="008725A3" w:rsidRDefault="008725A3" w:rsidP="00AF7A82">
      <w:pPr>
        <w:rPr>
          <w:rFonts w:ascii="Times New Roman" w:eastAsia="Times New Roman" w:hAnsi="Times New Roman" w:cs="Times New Roman"/>
          <w:bCs/>
          <w:color w:val="222222"/>
          <w:sz w:val="32"/>
          <w:szCs w:val="32"/>
          <w:u w:val="single"/>
          <w:lang w:eastAsia="ru-RU"/>
        </w:rPr>
      </w:pPr>
    </w:p>
    <w:p w:rsidR="008725A3" w:rsidRDefault="008725A3" w:rsidP="00AF7A82">
      <w:pPr>
        <w:rPr>
          <w:rFonts w:ascii="Times New Roman" w:eastAsia="Times New Roman" w:hAnsi="Times New Roman" w:cs="Times New Roman"/>
          <w:bCs/>
          <w:color w:val="222222"/>
          <w:sz w:val="32"/>
          <w:szCs w:val="32"/>
          <w:u w:val="single"/>
          <w:lang w:eastAsia="ru-RU"/>
        </w:rPr>
      </w:pPr>
    </w:p>
    <w:p w:rsidR="00FD6910" w:rsidRDefault="00FD6910" w:rsidP="00AF7A82">
      <w:pPr>
        <w:rPr>
          <w:rFonts w:ascii="Times New Roman" w:eastAsia="Times New Roman" w:hAnsi="Times New Roman" w:cs="Times New Roman"/>
          <w:bCs/>
          <w:color w:val="222222"/>
          <w:sz w:val="32"/>
          <w:szCs w:val="32"/>
          <w:u w:val="single"/>
          <w:lang w:eastAsia="ru-RU"/>
        </w:rPr>
      </w:pPr>
    </w:p>
    <w:p w:rsidR="00FD6910" w:rsidRDefault="00FD6910" w:rsidP="00AF7A82">
      <w:pPr>
        <w:rPr>
          <w:rFonts w:ascii="Times New Roman" w:eastAsia="Times New Roman" w:hAnsi="Times New Roman" w:cs="Times New Roman"/>
          <w:bCs/>
          <w:color w:val="222222"/>
          <w:sz w:val="32"/>
          <w:szCs w:val="32"/>
          <w:u w:val="single"/>
          <w:lang w:eastAsia="ru-RU"/>
        </w:rPr>
      </w:pPr>
    </w:p>
    <w:p w:rsidR="00FD6910" w:rsidRDefault="00FD6910" w:rsidP="00AF7A82">
      <w:pPr>
        <w:rPr>
          <w:rFonts w:ascii="Times New Roman" w:eastAsia="Times New Roman" w:hAnsi="Times New Roman" w:cs="Times New Roman"/>
          <w:bCs/>
          <w:color w:val="222222"/>
          <w:sz w:val="32"/>
          <w:szCs w:val="32"/>
          <w:u w:val="single"/>
          <w:lang w:eastAsia="ru-RU"/>
        </w:rPr>
      </w:pPr>
    </w:p>
    <w:p w:rsidR="00D03E25" w:rsidRDefault="00D03E25" w:rsidP="00D03E25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85E9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ПОРЯДОК ПРИМЕНЕНИЯ</w:t>
      </w:r>
    </w:p>
    <w:p w:rsidR="00D03E25" w:rsidRDefault="00D03E25" w:rsidP="00D03E25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gramStart"/>
      <w:r w:rsidRPr="00485E9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РИСК-ОРИЕНТИРОВАННОГО</w:t>
      </w:r>
      <w:proofErr w:type="gramEnd"/>
      <w:r w:rsidRPr="00485E9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ПОДХОДА</w:t>
      </w:r>
    </w:p>
    <w:p w:rsidR="00D03E25" w:rsidRDefault="00D03E25" w:rsidP="00D03E25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85E9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ПРИ </w:t>
      </w:r>
      <w:proofErr w:type="gramStart"/>
      <w:r w:rsidRPr="00485E9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КОНТРОЛЕ ЗА</w:t>
      </w:r>
      <w:proofErr w:type="gramEnd"/>
      <w:r w:rsidRPr="00485E9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ДЕЯТЕЛЬНОСТЬЮ ЧЛЕНОВ</w:t>
      </w:r>
    </w:p>
    <w:p w:rsidR="00D03E25" w:rsidRPr="00485E9C" w:rsidRDefault="00D03E25" w:rsidP="00D03E25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85E9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Pr="00485E9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САМОРЕГУЛИРУЕМОЙ ОРГАНИЗАЦИИ</w:t>
      </w:r>
    </w:p>
    <w:p w:rsidR="00D03E25" w:rsidRPr="00485E9C" w:rsidRDefault="00D03E25" w:rsidP="00D03E25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485E9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«ПРОЕКТИРОВЩИКИ ПРИМОРСКОГО КРАЯ»</w:t>
      </w:r>
    </w:p>
    <w:p w:rsidR="00B20384" w:rsidRPr="00310702" w:rsidRDefault="00B20384" w:rsidP="00AF7A82">
      <w:pPr>
        <w:rPr>
          <w:rFonts w:ascii="Times New Roman" w:eastAsia="Times New Roman" w:hAnsi="Times New Roman" w:cs="Times New Roman"/>
          <w:bCs/>
          <w:color w:val="222222"/>
          <w:sz w:val="32"/>
          <w:szCs w:val="32"/>
          <w:u w:val="single"/>
          <w:lang w:eastAsia="ru-RU"/>
        </w:rPr>
      </w:pPr>
    </w:p>
    <w:p w:rsidR="00853E0F" w:rsidRPr="007042DB" w:rsidRDefault="00853E0F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4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53E0F" w:rsidRPr="007042DB" w:rsidRDefault="00853E0F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4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526B1" w:rsidRDefault="006526B1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26B1" w:rsidRDefault="006526B1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26B1" w:rsidRDefault="006526B1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26B1" w:rsidRDefault="006526B1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26B1" w:rsidRDefault="006526B1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26B1" w:rsidRDefault="006526B1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26B1" w:rsidRDefault="006526B1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26B1" w:rsidRDefault="006526B1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26B1" w:rsidRDefault="006526B1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26B1" w:rsidRDefault="006526B1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10702" w:rsidRDefault="00310702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26B1" w:rsidRDefault="006526B1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F7A82" w:rsidRDefault="00AF7A82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10F1E" w:rsidRDefault="00910F1E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10F1E" w:rsidRDefault="00910F1E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F7A82" w:rsidRDefault="00AF7A82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F7A82" w:rsidRDefault="00AF7A82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F7A82" w:rsidRDefault="00AF7A82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E7968" w:rsidRDefault="006526B1" w:rsidP="00AF7A82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г. Владивосток </w:t>
      </w:r>
      <w:r w:rsidR="00853E0F" w:rsidRPr="00704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201</w:t>
      </w:r>
      <w:r w:rsidR="00FA0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8F11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</w:t>
      </w:r>
    </w:p>
    <w:p w:rsidR="00D03E25" w:rsidRPr="00D71C6D" w:rsidRDefault="00510C19" w:rsidP="00510C19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71C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ОБЩИЕ ПОЛОЖЕНИЯ</w:t>
      </w:r>
    </w:p>
    <w:p w:rsidR="00510C19" w:rsidRPr="00510C19" w:rsidRDefault="00510C19" w:rsidP="00510C19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35C5D" w:rsidRDefault="00D03E25" w:rsidP="00B35C5D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</w:t>
      </w:r>
      <w:r w:rsidR="00510C19">
        <w:rPr>
          <w:color w:val="auto"/>
        </w:rPr>
        <w:t xml:space="preserve">1.1. </w:t>
      </w:r>
      <w:proofErr w:type="gramStart"/>
      <w:r>
        <w:rPr>
          <w:color w:val="auto"/>
        </w:rPr>
        <w:t>Настоящий документ «</w:t>
      </w:r>
      <w:r w:rsidRPr="00450881">
        <w:rPr>
          <w:color w:val="auto"/>
        </w:rPr>
        <w:t xml:space="preserve">Порядок применения риск-ориентированного подхода при контроле за деятельностью членов </w:t>
      </w:r>
      <w:r>
        <w:rPr>
          <w:color w:val="auto"/>
        </w:rPr>
        <w:t xml:space="preserve">Ассоциации </w:t>
      </w:r>
      <w:r w:rsidRPr="00450881">
        <w:rPr>
          <w:color w:val="auto"/>
        </w:rPr>
        <w:t xml:space="preserve">Саморегулируемой организации </w:t>
      </w:r>
      <w:r>
        <w:rPr>
          <w:color w:val="auto"/>
        </w:rPr>
        <w:t>«Проектировщики Приморского края»</w:t>
      </w:r>
      <w:r w:rsidRPr="00450881">
        <w:rPr>
          <w:color w:val="auto"/>
        </w:rPr>
        <w:t xml:space="preserve"> (далее – Порядок) разработан в соответствии с Градостроительным кодексом РФ и Федеральными законами: от 12.01.1996 г. № 7-ФЗ, от 01.12.2007 г. № 315-ФЗ, от 26.12.2008 г. № 294-ФЗ, от 30.12.2009 г. № 384-ФЗ, от 07.06.2013 г. № 113-ФЗ, от 24.11.2014 г. № 359-ФЗ, от 03.07.2016 г. № 372-ФЗ;</w:t>
      </w:r>
      <w:proofErr w:type="gramEnd"/>
      <w:r w:rsidRPr="00450881">
        <w:rPr>
          <w:color w:val="auto"/>
        </w:rPr>
        <w:t xml:space="preserve"> </w:t>
      </w:r>
      <w:proofErr w:type="gramStart"/>
      <w:r w:rsidRPr="00450881">
        <w:rPr>
          <w:color w:val="auto"/>
        </w:rPr>
        <w:t>Постановлениями Правительства РФ от 16.02.2008 г. № 87 и от 11.05.2017 г.</w:t>
      </w:r>
      <w:r w:rsidR="00A92754">
        <w:rPr>
          <w:color w:val="auto"/>
        </w:rPr>
        <w:t xml:space="preserve"> и основан на </w:t>
      </w:r>
      <w:r w:rsidRPr="00450881">
        <w:rPr>
          <w:color w:val="auto"/>
        </w:rPr>
        <w:t xml:space="preserve"> </w:t>
      </w:r>
      <w:r w:rsidR="00A92754">
        <w:rPr>
          <w:color w:val="auto"/>
        </w:rPr>
        <w:t>использовании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 изысканий, архитектурно-строительного проектирования, строительства, реконструкции, капитального ремонта</w:t>
      </w:r>
      <w:r w:rsidR="00221C82">
        <w:rPr>
          <w:color w:val="auto"/>
        </w:rPr>
        <w:t xml:space="preserve">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</w:t>
      </w:r>
      <w:proofErr w:type="gramEnd"/>
      <w:r w:rsidR="00221C82">
        <w:rPr>
          <w:color w:val="auto"/>
        </w:rPr>
        <w:t xml:space="preserve"> </w:t>
      </w:r>
      <w:proofErr w:type="gramStart"/>
      <w:r w:rsidR="00221C82">
        <w:rPr>
          <w:color w:val="auto"/>
        </w:rPr>
        <w:t>ремонте особо опасных, технически сложных и уникальных объектов, утвержденной приказом Министерства строительства и жилищно-коммунального хозяйства РФ от 10 апреля 2017 № 699/пр</w:t>
      </w:r>
      <w:r w:rsidR="00B35C5D">
        <w:rPr>
          <w:color w:val="auto"/>
        </w:rPr>
        <w:t xml:space="preserve">., </w:t>
      </w:r>
      <w:r w:rsidR="00B35C5D" w:rsidRPr="00B35C5D">
        <w:t>предназначен</w:t>
      </w:r>
      <w:r w:rsidR="00B35C5D">
        <w:t>ной</w:t>
      </w:r>
      <w:r w:rsidR="00B35C5D" w:rsidRPr="00B35C5D">
        <w:t xml:space="preserve"> для применения </w:t>
      </w:r>
      <w:r w:rsidR="00B35C5D">
        <w:t>саморегулируемыми организациями</w:t>
      </w:r>
      <w:r w:rsidR="00B35C5D" w:rsidRPr="00B35C5D">
        <w:t>, применяющими риск-ориентированный подход при организации контроля за деятельностью своих членов, если деятельность члена саморегулируемой организации связана с выполнением инженерных изысканий, подготовкой проектной документации, строительством, реконструкцией, капитальным ремонтом особо опасных, технически сл</w:t>
      </w:r>
      <w:r w:rsidR="00B35C5D">
        <w:t>ожных и уникальных</w:t>
      </w:r>
      <w:proofErr w:type="gramEnd"/>
      <w:r w:rsidR="00B35C5D">
        <w:t xml:space="preserve"> </w:t>
      </w:r>
      <w:proofErr w:type="gramStart"/>
      <w:r w:rsidR="00B35C5D">
        <w:t xml:space="preserve">объектов и </w:t>
      </w:r>
      <w:r w:rsidR="00B35C5D" w:rsidRPr="00B35C5D">
        <w:rPr>
          <w:color w:val="auto"/>
        </w:rPr>
        <w:t>используе</w:t>
      </w:r>
      <w:r w:rsidR="00B35C5D">
        <w:rPr>
          <w:color w:val="auto"/>
        </w:rPr>
        <w:t>мой</w:t>
      </w:r>
      <w:r w:rsidR="00B35C5D" w:rsidRPr="00B35C5D">
        <w:rPr>
          <w:color w:val="auto"/>
        </w:rPr>
        <w:t xml:space="preserve"> для определения риска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нарушения требований к обеспечению безопасной эксплуатации здания, сооружения при нарушении членом саморегулируемой организации, деятельность которого связана с выполнением инженерных изысканий, подготовкой проектной документации, строительством, реконструкцией, капитальным ремонтом особо опасных, технических сложных и уникальных объектов, указанных</w:t>
      </w:r>
      <w:proofErr w:type="gramEnd"/>
      <w:r w:rsidR="00B35C5D" w:rsidRPr="00B35C5D">
        <w:rPr>
          <w:color w:val="auto"/>
        </w:rPr>
        <w:t xml:space="preserve"> в статье 48.1 Градостроительного кодекса Российской Федерации</w:t>
      </w:r>
      <w:r w:rsidR="00B35C5D" w:rsidRPr="00B35C5D">
        <w:t xml:space="preserve"> </w:t>
      </w:r>
      <w:r w:rsidR="00B35C5D" w:rsidRPr="00B35C5D">
        <w:rPr>
          <w:color w:val="auto"/>
        </w:rPr>
        <w:t>требований, установленных законодательством Российской Федерации о градостроительной деятельности, о техническом регулировании, включая требования, установленные в стандартах на процессы выполнения работ по инженерным изысканиям, подготовке проектной документации, строительству, реконструкции, капитальному ремонту объектов капитального строительства, утвержденных соответствующим Национальным объединением саморегулируемых организаций</w:t>
      </w:r>
      <w:r w:rsidR="00B35C5D">
        <w:rPr>
          <w:color w:val="auto"/>
        </w:rPr>
        <w:t>.</w:t>
      </w:r>
    </w:p>
    <w:p w:rsidR="00510C19" w:rsidRPr="00450881" w:rsidRDefault="00510C19" w:rsidP="00510C1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1.2. С</w:t>
      </w:r>
      <w:r w:rsidRPr="00510C19">
        <w:rPr>
          <w:color w:val="auto"/>
        </w:rPr>
        <w:t>пециализированны</w:t>
      </w:r>
      <w:r>
        <w:rPr>
          <w:color w:val="auto"/>
        </w:rPr>
        <w:t>е</w:t>
      </w:r>
      <w:r w:rsidRPr="00510C19">
        <w:rPr>
          <w:color w:val="auto"/>
        </w:rPr>
        <w:t xml:space="preserve"> орган</w:t>
      </w:r>
      <w:r>
        <w:rPr>
          <w:color w:val="auto"/>
        </w:rPr>
        <w:t xml:space="preserve">ы Ассоциации используют настоящий документ в своей деятельности </w:t>
      </w:r>
      <w:r w:rsidRPr="00450881">
        <w:rPr>
          <w:color w:val="auto"/>
        </w:rPr>
        <w:t xml:space="preserve">при проведении проверок (плановых, внеплановых) деятельности членов </w:t>
      </w:r>
      <w:r w:rsidRPr="00510C19">
        <w:rPr>
          <w:color w:val="auto"/>
        </w:rPr>
        <w:t>Ассоциации</w:t>
      </w:r>
      <w:r w:rsidRPr="00450881">
        <w:rPr>
          <w:color w:val="auto"/>
        </w:rPr>
        <w:t>, выполняющих подготовку проектной документации (функции технического заказчика) объектов капитального строительства, относящихся к особо опасным, техническ</w:t>
      </w:r>
      <w:r>
        <w:rPr>
          <w:color w:val="auto"/>
        </w:rPr>
        <w:t>и сложным и уникальным объектам (кроме объектов использования атомной энергии).</w:t>
      </w:r>
      <w:r w:rsidRPr="00450881">
        <w:rPr>
          <w:color w:val="auto"/>
        </w:rPr>
        <w:t xml:space="preserve"> </w:t>
      </w:r>
    </w:p>
    <w:p w:rsidR="00D03E25" w:rsidRPr="00450881" w:rsidRDefault="00510C19" w:rsidP="00D03E2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</w:t>
      </w:r>
      <w:r w:rsidR="00D03E25" w:rsidRPr="00450881">
        <w:rPr>
          <w:color w:val="auto"/>
        </w:rPr>
        <w:t xml:space="preserve">1.3. </w:t>
      </w:r>
      <w:proofErr w:type="gramStart"/>
      <w:r w:rsidR="00D03E25" w:rsidRPr="00450881">
        <w:rPr>
          <w:color w:val="auto"/>
        </w:rPr>
        <w:t>Риск-ориентированный</w:t>
      </w:r>
      <w:proofErr w:type="gramEnd"/>
      <w:r w:rsidR="00D03E25" w:rsidRPr="00450881">
        <w:rPr>
          <w:color w:val="auto"/>
        </w:rPr>
        <w:t xml:space="preserve"> подход представляет собой метод организации и осуществления контроля со стороны </w:t>
      </w:r>
      <w:r w:rsidRPr="00510C19">
        <w:rPr>
          <w:color w:val="auto"/>
        </w:rPr>
        <w:t>Ассоциации</w:t>
      </w:r>
      <w:r w:rsidR="00D03E25" w:rsidRPr="00450881">
        <w:rPr>
          <w:color w:val="auto"/>
        </w:rPr>
        <w:t xml:space="preserve">, при котором, в предусмотренных настоящим Порядком случаях, выбор интенсивности (формы, продолжительности, периодичности) проведения мероприятий по контролю, а также мероприятий по профилактике нарушения членом </w:t>
      </w:r>
      <w:r w:rsidRPr="00510C19">
        <w:rPr>
          <w:color w:val="auto"/>
        </w:rPr>
        <w:t xml:space="preserve">Ассоциации </w:t>
      </w:r>
      <w:r w:rsidR="00D03E25" w:rsidRPr="00450881">
        <w:rPr>
          <w:color w:val="auto"/>
        </w:rPr>
        <w:t>обязательных требований, определяется деятельностью объекта контроля при осуществлении им подготовки проектной документации (исполнение функций технического заказчика) объект</w:t>
      </w:r>
      <w:r>
        <w:rPr>
          <w:color w:val="auto"/>
        </w:rPr>
        <w:t>ов</w:t>
      </w:r>
      <w:r w:rsidR="00D03E25" w:rsidRPr="00450881">
        <w:rPr>
          <w:color w:val="auto"/>
        </w:rPr>
        <w:t xml:space="preserve"> капитального строительства, относящихся к особо опасным, технически сложным и уникальным объектам. </w:t>
      </w:r>
    </w:p>
    <w:p w:rsidR="00D03E25" w:rsidRDefault="00510C19" w:rsidP="00D03E25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         </w:t>
      </w:r>
      <w:r w:rsidR="00D03E25" w:rsidRPr="00450881">
        <w:rPr>
          <w:color w:val="auto"/>
        </w:rPr>
        <w:t xml:space="preserve">1.4. Контрольный комитет </w:t>
      </w:r>
      <w:r w:rsidRPr="00510C19">
        <w:rPr>
          <w:color w:val="auto"/>
        </w:rPr>
        <w:t xml:space="preserve">Ассоциации </w:t>
      </w:r>
      <w:r w:rsidR="00D03E25" w:rsidRPr="00450881">
        <w:rPr>
          <w:color w:val="auto"/>
        </w:rPr>
        <w:t>осуществляет контроль с учетом тяжести потенциальных негативных последствий возможного несоблюдения объектом к</w:t>
      </w:r>
      <w:r w:rsidR="00D71C6D">
        <w:rPr>
          <w:color w:val="auto"/>
        </w:rPr>
        <w:t xml:space="preserve">онтроля обязательных требований </w:t>
      </w:r>
      <w:r w:rsidR="00D03E25" w:rsidRPr="00450881">
        <w:rPr>
          <w:color w:val="auto"/>
        </w:rPr>
        <w:t xml:space="preserve">и с учетом оценки вероятности несоблюдения соответствующих обязательных требований объектом контроля. </w:t>
      </w:r>
    </w:p>
    <w:p w:rsidR="00D03E25" w:rsidRPr="00450881" w:rsidRDefault="00510C19" w:rsidP="00D03E25">
      <w:pPr>
        <w:ind w:hanging="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3E25" w:rsidRPr="00450881">
        <w:rPr>
          <w:rFonts w:ascii="Times New Roman" w:hAnsi="Times New Roman" w:cs="Times New Roman"/>
          <w:sz w:val="24"/>
          <w:szCs w:val="24"/>
        </w:rPr>
        <w:t xml:space="preserve">1.5. Порядок является внутренним документом </w:t>
      </w:r>
      <w:r w:rsidR="00D71C6D" w:rsidRPr="00D71C6D">
        <w:rPr>
          <w:rFonts w:ascii="Times New Roman" w:hAnsi="Times New Roman" w:cs="Times New Roman"/>
          <w:sz w:val="24"/>
          <w:szCs w:val="24"/>
        </w:rPr>
        <w:t>Ассоциации</w:t>
      </w:r>
      <w:r w:rsidR="00D03E25" w:rsidRPr="00450881">
        <w:rPr>
          <w:rFonts w:ascii="Times New Roman" w:hAnsi="Times New Roman" w:cs="Times New Roman"/>
          <w:sz w:val="24"/>
          <w:szCs w:val="24"/>
        </w:rPr>
        <w:t xml:space="preserve">, определяющим организацию осуществления Контрольным комитетом </w:t>
      </w:r>
      <w:r w:rsidR="00D71C6D" w:rsidRPr="00D71C6D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D03E25" w:rsidRPr="00450881">
        <w:rPr>
          <w:rFonts w:ascii="Times New Roman" w:hAnsi="Times New Roman" w:cs="Times New Roman"/>
          <w:sz w:val="24"/>
          <w:szCs w:val="24"/>
        </w:rPr>
        <w:t xml:space="preserve">функций контроля за деятельностью объекта контроля в области архитектурно-строительного проектирования (исполнение функций технического заказчика) объектов капитального строительства, относящихся к особо опасным, технически сложным и уникальным объектам с применением </w:t>
      </w:r>
      <w:proofErr w:type="gramStart"/>
      <w:r w:rsidR="00D03E25" w:rsidRPr="00450881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="00D03E25" w:rsidRPr="00450881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D03E25" w:rsidRDefault="00D03E25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03E25" w:rsidRPr="00D71C6D" w:rsidRDefault="00D71C6D" w:rsidP="00D71C6D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71C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ПРИМЕНЕНИЕ </w:t>
      </w:r>
      <w:proofErr w:type="gramStart"/>
      <w:r w:rsidRPr="00D71C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РИСК-ОРИЕНТИРОВАННОГО</w:t>
      </w:r>
      <w:proofErr w:type="gramEnd"/>
      <w:r w:rsidRPr="00D71C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ПОДХОДА</w:t>
      </w:r>
    </w:p>
    <w:p w:rsidR="00D71C6D" w:rsidRDefault="00D71C6D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71C6D" w:rsidRPr="00D71C6D" w:rsidRDefault="00400910" w:rsidP="00D71C6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Если деятельность объекта контроля связана с подготовкой проектной документации (исполнение функций технического заказчика) для строительства, реконструкции, капитального ремонта особо опасных, технически сложных и уникальных объектов, Контрольный комитет </w:t>
      </w: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Ассоциации </w:t>
      </w:r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осуществляет контроль за деятельностью такого объекта контроля, в том числе, с применением </w:t>
      </w:r>
      <w:proofErr w:type="gramStart"/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риск-ориентированного</w:t>
      </w:r>
      <w:proofErr w:type="gramEnd"/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подхода в соответствии с положениями настоящего Порядка.</w:t>
      </w:r>
    </w:p>
    <w:p w:rsidR="00D71C6D" w:rsidRPr="00D71C6D" w:rsidRDefault="00400910" w:rsidP="00D71C6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</w:t>
      </w:r>
      <w:proofErr w:type="gramStart"/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Расчет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</w:t>
      </w: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по методике расчета значений показателей риск-ориентированного подхода, которая используется для определения риска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нарушения требований к обеспечению безопасной эксплуатации здания, сооружения</w:t>
      </w:r>
      <w:proofErr w:type="gramEnd"/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 нарушении обязательных требований объектом контроля, который осуществляет подготовку проектной документации (исполнение функций технического заказчика) особо опасных, технически сложных и уникальных объектов, указанных в статье 48.1 Градостроительного кодекса РФ.</w:t>
      </w:r>
    </w:p>
    <w:p w:rsidR="00D71C6D" w:rsidRPr="00D71C6D" w:rsidRDefault="00400910" w:rsidP="00D71C6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Критерии отнесения объектов контроля к категориям риска учитывают тяжесть потенциальных негативных последствий возможного несоблюдения объектом контроля обязательных требований и вероятность несоблюдения объектом контроля обязательных требований.</w:t>
      </w:r>
    </w:p>
    <w:p w:rsidR="00D71C6D" w:rsidRPr="00D71C6D" w:rsidRDefault="00400910" w:rsidP="00D71C6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Оценка деятельности объекта контроля, в зависимости от степени тяжести потенциальных негативных последствий реализации риска, обусловленных причинением вреда (нанесения убытков) охраняемым законом ценностям, осуществляется Контрольным комитетом </w:t>
      </w: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Ассоциации </w:t>
      </w:r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учетом тяжести потенциальных негативных последствий возможного несоблюдения объектом контроля обязательных требований и (или) вероятности их несоблюдения.</w:t>
      </w:r>
    </w:p>
    <w:p w:rsidR="00D71C6D" w:rsidRPr="00D71C6D" w:rsidRDefault="00400910" w:rsidP="00D71C6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Основными показателями категорий рисков являются:</w:t>
      </w:r>
    </w:p>
    <w:p w:rsidR="00D71C6D" w:rsidRPr="00D71C6D" w:rsidRDefault="00400910" w:rsidP="00D71C6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2.4.1. показатель, используемый для оценки тяжести потенциальных негативных последствий возможного несоблюдения объектом контроля обязательных требований - </w:t>
      </w:r>
      <w:r w:rsidR="00D71C6D" w:rsidRPr="0040091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показатель тяжести потенциальных негативных последствий;</w:t>
      </w:r>
    </w:p>
    <w:p w:rsidR="00D71C6D" w:rsidRPr="00D71C6D" w:rsidRDefault="00400910" w:rsidP="00D71C6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2.4.2. показатель, используемый для оценки вероятности несоблюдения объектом контроля обязательных требований - </w:t>
      </w:r>
      <w:r w:rsidR="00D71C6D" w:rsidRPr="0040091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показатель вероятности несоблюдения обязательных требований.</w:t>
      </w:r>
    </w:p>
    <w:p w:rsidR="00D71C6D" w:rsidRPr="00D71C6D" w:rsidRDefault="00400910" w:rsidP="00D71C6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Расчет значений показателей категорий рисков осуществляется путем соотнесения деятельности объекта контроля по каждому процессу и (или) явлению (источнику рисков), способствующим возникновению того или иного вида риска и определяющим его характер - фактор риска.</w:t>
      </w:r>
    </w:p>
    <w:p w:rsidR="00D71C6D" w:rsidRPr="00D71C6D" w:rsidRDefault="00400910" w:rsidP="00D71C6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 </w:t>
      </w:r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2.6. Допустимые значения показателей по каждому из факторов риска устанавливаются </w:t>
      </w: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Ассоциаци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ей</w:t>
      </w:r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03E25" w:rsidRDefault="00400910" w:rsidP="00D71C6D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D71C6D" w:rsidRPr="00D7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Количественная оценка показателя тяжести потенциальных негативных последствий выражается числовым значением, определяющим его уровень.</w:t>
      </w:r>
    </w:p>
    <w:p w:rsidR="00400910" w:rsidRPr="00400910" w:rsidRDefault="0040091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Расчет показателя тяжести потенциальных негативных последствий осуществляется с учетом следующих показателей:</w:t>
      </w:r>
    </w:p>
    <w:p w:rsidR="00400910" w:rsidRPr="00400910" w:rsidRDefault="0040091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определяются факторы риска, рассматриваемые при определении показателя тяжести потенциальных негативных последствий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указанные в пункте 2.9 настоящего Порядка;</w:t>
      </w:r>
    </w:p>
    <w:p w:rsidR="00400910" w:rsidRPr="00400910" w:rsidRDefault="0040091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устанавливаются категории риска и их значимость;</w:t>
      </w:r>
    </w:p>
    <w:p w:rsidR="00400910" w:rsidRPr="00400910" w:rsidRDefault="0040091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осуществляется сопоставление значимости риска и категории риска.</w:t>
      </w:r>
    </w:p>
    <w:p w:rsidR="00400910" w:rsidRPr="00400910" w:rsidRDefault="0040091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2.9. Факторы риска, рассматриваемые при определении показателя тяжести потенциальных негативных последствий:</w:t>
      </w:r>
    </w:p>
    <w:p w:rsidR="00400910" w:rsidRPr="00400910" w:rsidRDefault="0040091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наличие фактов и размер возмещения вреда, выплаты компенсации сверх возмещения вреда из средств компенсационного фонда возмещения вреда Ассоциаци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за счет страхового возмещения, вследствие недостатков работ, связанных с подготовкой проектной документации (исполнение функций технического заказчика), выполненных объектом контроля;</w:t>
      </w:r>
    </w:p>
    <w:p w:rsidR="00400910" w:rsidRPr="00400910" w:rsidRDefault="0040091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непринятие объектом контроля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объект контроля может направить на предотвращение нарушений, недостатков и недобросовестных действий, связанных с подготовкой проектной документации (исполнение функций технического заказчика);</w:t>
      </w:r>
    </w:p>
    <w:p w:rsidR="00400910" w:rsidRPr="00400910" w:rsidRDefault="0040091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фактический максимальный уровень ответственности члена </w:t>
      </w:r>
      <w:r w:rsidR="00C33760" w:rsidRPr="00C33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Ассоциаци</w:t>
      </w:r>
      <w:r w:rsidR="00C33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договорам подряда на подготовку проектной документации (исполнение функций технического заказчика).</w:t>
      </w:r>
    </w:p>
    <w:p w:rsidR="00400910" w:rsidRPr="00400910" w:rsidRDefault="00C3376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400910"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факторам риска относятся возможные </w:t>
      </w:r>
      <w:r w:rsidRPr="00C33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действия </w:t>
      </w:r>
      <w:r w:rsidR="00400910"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недобросовестн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ого характера</w:t>
      </w:r>
      <w:r w:rsidR="00400910"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объекта контроля, связанные с несоблюдением обязательных требований, идентифицирующих данные риски.</w:t>
      </w:r>
    </w:p>
    <w:p w:rsidR="00400910" w:rsidRPr="00400910" w:rsidRDefault="00C3376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400910"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2.10. Для расчета значений показателя тяжести потенциальных негативных последствий </w:t>
      </w:r>
      <w:r w:rsidRPr="00C33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C33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00910"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используются шесть категорий риска:</w:t>
      </w:r>
    </w:p>
    <w:p w:rsidR="00400910" w:rsidRPr="00400910" w:rsidRDefault="0040091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Низкий риск,</w:t>
      </w:r>
    </w:p>
    <w:p w:rsidR="00400910" w:rsidRPr="00400910" w:rsidRDefault="0040091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Умеренный риск,</w:t>
      </w:r>
    </w:p>
    <w:p w:rsidR="00400910" w:rsidRPr="00400910" w:rsidRDefault="0040091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Средний риск,</w:t>
      </w:r>
    </w:p>
    <w:p w:rsidR="00400910" w:rsidRPr="00400910" w:rsidRDefault="0040091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Значительный риск,</w:t>
      </w:r>
    </w:p>
    <w:p w:rsidR="00400910" w:rsidRPr="00400910" w:rsidRDefault="0040091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Высокий риск,</w:t>
      </w:r>
    </w:p>
    <w:p w:rsidR="00400910" w:rsidRPr="00400910" w:rsidRDefault="0040091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Чрезвычайно высокий риск.</w:t>
      </w:r>
    </w:p>
    <w:p w:rsidR="00400910" w:rsidRDefault="0040091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Каждая категория риска сопоставляется с соответствующим показателем его значимости, в соответствии с таблицей</w:t>
      </w:r>
      <w:r w:rsidR="00C337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4009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приведенной ниже.</w:t>
      </w:r>
    </w:p>
    <w:p w:rsidR="00C33760" w:rsidRDefault="00C33760" w:rsidP="00400910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33760" w:rsidRPr="00C33760" w:rsidRDefault="00C33760" w:rsidP="00C33760">
      <w:pPr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C337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«Сопоставление значимости риска и категории риска»</w:t>
      </w:r>
      <w:r w:rsidR="00EC37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03E25" w:rsidRDefault="00D03E25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3760" w:rsidTr="00C33760">
        <w:tc>
          <w:tcPr>
            <w:tcW w:w="4785" w:type="dxa"/>
          </w:tcPr>
          <w:p w:rsidR="00C33760" w:rsidRDefault="00C33760" w:rsidP="00C3376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Категория риска</w:t>
            </w:r>
          </w:p>
        </w:tc>
        <w:tc>
          <w:tcPr>
            <w:tcW w:w="4786" w:type="dxa"/>
          </w:tcPr>
          <w:p w:rsidR="00C33760" w:rsidRDefault="00C33760" w:rsidP="00C3376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Значимость риска</w:t>
            </w:r>
          </w:p>
        </w:tc>
      </w:tr>
      <w:tr w:rsidR="00C33760" w:rsidTr="00C33760">
        <w:tc>
          <w:tcPr>
            <w:tcW w:w="4785" w:type="dxa"/>
          </w:tcPr>
          <w:p w:rsidR="00C33760" w:rsidRDefault="00C33760" w:rsidP="00C3376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37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4786" w:type="dxa"/>
          </w:tcPr>
          <w:p w:rsidR="00C33760" w:rsidRDefault="00C33760" w:rsidP="00C3376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C33760" w:rsidTr="00C33760">
        <w:trPr>
          <w:trHeight w:val="303"/>
        </w:trPr>
        <w:tc>
          <w:tcPr>
            <w:tcW w:w="4785" w:type="dxa"/>
          </w:tcPr>
          <w:p w:rsidR="00C33760" w:rsidRDefault="00C33760" w:rsidP="00C3376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37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4786" w:type="dxa"/>
          </w:tcPr>
          <w:p w:rsidR="00C33760" w:rsidRDefault="00C33760" w:rsidP="00C3376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C33760" w:rsidTr="00C33760">
        <w:tc>
          <w:tcPr>
            <w:tcW w:w="4785" w:type="dxa"/>
          </w:tcPr>
          <w:p w:rsidR="00C33760" w:rsidRDefault="00C33760" w:rsidP="00C33760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</w:r>
            <w:r w:rsidRPr="00C337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4786" w:type="dxa"/>
          </w:tcPr>
          <w:p w:rsidR="00C33760" w:rsidRDefault="00C33760" w:rsidP="00C3376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C33760" w:rsidTr="00C33760">
        <w:tc>
          <w:tcPr>
            <w:tcW w:w="4785" w:type="dxa"/>
          </w:tcPr>
          <w:p w:rsidR="00C33760" w:rsidRDefault="00C33760" w:rsidP="00C3376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37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4786" w:type="dxa"/>
          </w:tcPr>
          <w:p w:rsidR="00C33760" w:rsidRDefault="00C33760" w:rsidP="00C3376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C33760" w:rsidTr="00C33760">
        <w:tc>
          <w:tcPr>
            <w:tcW w:w="4785" w:type="dxa"/>
          </w:tcPr>
          <w:p w:rsidR="00C33760" w:rsidRDefault="00C33760" w:rsidP="00C33760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</w:r>
            <w:r w:rsidRPr="00C337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4786" w:type="dxa"/>
          </w:tcPr>
          <w:p w:rsidR="00C33760" w:rsidRDefault="00C33760" w:rsidP="00C3376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C33760" w:rsidTr="00C33760">
        <w:tc>
          <w:tcPr>
            <w:tcW w:w="4785" w:type="dxa"/>
          </w:tcPr>
          <w:p w:rsidR="00C33760" w:rsidRDefault="00C33760" w:rsidP="00C33760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3376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4786" w:type="dxa"/>
          </w:tcPr>
          <w:p w:rsidR="00C33760" w:rsidRDefault="00C33760" w:rsidP="00C3376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</w:tbl>
    <w:p w:rsidR="00C33760" w:rsidRDefault="00C33760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C376D" w:rsidRDefault="00EC376D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C33760" w:rsidRPr="00EC376D" w:rsidRDefault="00AA722D" w:rsidP="00EC376D">
      <w:pPr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EC376D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lastRenderedPageBreak/>
        <w:t>Допустимые значения тяжести потенциальных негативных последствий факторов риска, рассматриваемых при определении показателя тяжести потенциальных негативных последствий</w:t>
      </w:r>
      <w:r w:rsidR="00EC376D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:</w:t>
      </w:r>
    </w:p>
    <w:p w:rsidR="00C33760" w:rsidRDefault="00C33760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33760" w:rsidRDefault="00C33760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134"/>
        <w:gridCol w:w="1950"/>
      </w:tblGrid>
      <w:tr w:rsidR="00EC376D" w:rsidTr="002060A6">
        <w:tc>
          <w:tcPr>
            <w:tcW w:w="817" w:type="dxa"/>
          </w:tcPr>
          <w:p w:rsidR="00EC376D" w:rsidRDefault="00EC376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</w:tcPr>
          <w:p w:rsidR="00EC376D" w:rsidRDefault="00EC376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Наименование фактора риска</w:t>
            </w:r>
          </w:p>
        </w:tc>
        <w:tc>
          <w:tcPr>
            <w:tcW w:w="1843" w:type="dxa"/>
          </w:tcPr>
          <w:p w:rsidR="00EC376D" w:rsidRDefault="00EC376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Категория риска</w:t>
            </w:r>
          </w:p>
        </w:tc>
        <w:tc>
          <w:tcPr>
            <w:tcW w:w="1134" w:type="dxa"/>
          </w:tcPr>
          <w:p w:rsidR="00EC376D" w:rsidRDefault="00EC376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Значимость</w:t>
            </w:r>
          </w:p>
        </w:tc>
        <w:tc>
          <w:tcPr>
            <w:tcW w:w="1950" w:type="dxa"/>
          </w:tcPr>
          <w:p w:rsidR="00EC376D" w:rsidRDefault="00EC376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Допустимые значения тяжести потенциальных негативных последствий фактора риска</w:t>
            </w:r>
          </w:p>
        </w:tc>
      </w:tr>
      <w:tr w:rsidR="00EC5B1D" w:rsidTr="002060A6">
        <w:tc>
          <w:tcPr>
            <w:tcW w:w="817" w:type="dxa"/>
            <w:vMerge w:val="restart"/>
          </w:tcPr>
          <w:p w:rsidR="00EC5B1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EC5B1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Наличие фак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тов и размер возмещения вреда, </w:t>
            </w:r>
            <w:r w:rsidRPr="00EC37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выплаты компенсации сверх возмещения вреда из средств компенсационного фонда возмещения вреда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Ассоциации</w:t>
            </w:r>
            <w:r w:rsidRPr="00EC37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или за счет страхового возмещения вследствие недостатков работ по подготовке проектной документации, выполненных объектом контроля (стоимость по одному договору):</w:t>
            </w:r>
          </w:p>
        </w:tc>
        <w:tc>
          <w:tcPr>
            <w:tcW w:w="1843" w:type="dxa"/>
          </w:tcPr>
          <w:p w:rsidR="00EC5B1D" w:rsidRDefault="00EC5B1D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5B1D" w:rsidRDefault="00EC5B1D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EC5B1D" w:rsidRDefault="00EC5B1D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C5B1D" w:rsidTr="002060A6">
        <w:tc>
          <w:tcPr>
            <w:tcW w:w="817" w:type="dxa"/>
            <w:vMerge/>
          </w:tcPr>
          <w:p w:rsidR="00EC5B1D" w:rsidRDefault="00EC5B1D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EC5B1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37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1.1. Наличие фактов возмещения вреда</w:t>
            </w:r>
          </w:p>
        </w:tc>
        <w:tc>
          <w:tcPr>
            <w:tcW w:w="1843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1134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EC5B1D" w:rsidTr="002060A6">
        <w:tc>
          <w:tcPr>
            <w:tcW w:w="817" w:type="dxa"/>
            <w:vMerge/>
          </w:tcPr>
          <w:p w:rsidR="00EC5B1D" w:rsidRDefault="00EC5B1D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EC5B1D" w:rsidRPr="00EC376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1134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1</w:t>
            </w:r>
          </w:p>
        </w:tc>
      </w:tr>
      <w:tr w:rsidR="00EC5B1D" w:rsidTr="002060A6">
        <w:tc>
          <w:tcPr>
            <w:tcW w:w="817" w:type="dxa"/>
            <w:vMerge/>
          </w:tcPr>
          <w:p w:rsidR="00EC5B1D" w:rsidRDefault="00EC5B1D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EC5B1D" w:rsidRPr="00EC376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1134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2</w:t>
            </w:r>
          </w:p>
        </w:tc>
      </w:tr>
      <w:tr w:rsidR="00EC5B1D" w:rsidTr="002060A6">
        <w:tc>
          <w:tcPr>
            <w:tcW w:w="817" w:type="dxa"/>
            <w:vMerge/>
          </w:tcPr>
          <w:p w:rsidR="00EC5B1D" w:rsidRDefault="00EC5B1D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EC5B1D" w:rsidRPr="00EC376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1134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3</w:t>
            </w:r>
          </w:p>
        </w:tc>
      </w:tr>
      <w:tr w:rsidR="00EC5B1D" w:rsidTr="002060A6">
        <w:tc>
          <w:tcPr>
            <w:tcW w:w="817" w:type="dxa"/>
            <w:vMerge/>
          </w:tcPr>
          <w:p w:rsidR="00EC5B1D" w:rsidRDefault="00EC5B1D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EC5B1D" w:rsidRPr="00EC376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1134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4</w:t>
            </w:r>
          </w:p>
        </w:tc>
      </w:tr>
      <w:tr w:rsidR="00EC5B1D" w:rsidTr="002060A6">
        <w:tc>
          <w:tcPr>
            <w:tcW w:w="817" w:type="dxa"/>
            <w:vMerge/>
          </w:tcPr>
          <w:p w:rsidR="00EC5B1D" w:rsidRDefault="00EC5B1D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EC5B1D" w:rsidRPr="00EC376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1134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EC5B1D" w:rsidRDefault="00EC5B1D" w:rsidP="002A55F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Более 5</w:t>
            </w:r>
          </w:p>
        </w:tc>
      </w:tr>
      <w:tr w:rsidR="00EC5B1D" w:rsidTr="002060A6">
        <w:tc>
          <w:tcPr>
            <w:tcW w:w="817" w:type="dxa"/>
            <w:vMerge/>
          </w:tcPr>
          <w:p w:rsidR="00EC5B1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EC5B1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1.2. Размер возмещения вреда и выплаты компенсации сверх возмещения вреда из КФ </w:t>
            </w:r>
            <w:proofErr w:type="gramStart"/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ВВ</w:t>
            </w:r>
            <w:proofErr w:type="gramEnd"/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или за счет страхового возмещения</w:t>
            </w:r>
          </w:p>
        </w:tc>
        <w:tc>
          <w:tcPr>
            <w:tcW w:w="1843" w:type="dxa"/>
          </w:tcPr>
          <w:p w:rsid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1134" w:type="dxa"/>
          </w:tcPr>
          <w:p w:rsid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EC5B1D" w:rsidTr="002060A6">
        <w:tc>
          <w:tcPr>
            <w:tcW w:w="817" w:type="dxa"/>
            <w:vMerge/>
          </w:tcPr>
          <w:p w:rsidR="00EC5B1D" w:rsidRPr="00EC376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EC5B1D" w:rsidRPr="00EC376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1134" w:type="dxa"/>
          </w:tcPr>
          <w:p w:rsid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</w:tcPr>
          <w:p w:rsidR="00EC5B1D" w:rsidRP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</w:t>
            </w:r>
          </w:p>
          <w:p w:rsid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млн. руб.</w:t>
            </w:r>
          </w:p>
        </w:tc>
      </w:tr>
      <w:tr w:rsidR="00EC5B1D" w:rsidTr="002060A6">
        <w:tc>
          <w:tcPr>
            <w:tcW w:w="817" w:type="dxa"/>
            <w:vMerge/>
          </w:tcPr>
          <w:p w:rsidR="00EC5B1D" w:rsidRPr="00EC376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EC5B1D" w:rsidRPr="00EC376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1134" w:type="dxa"/>
          </w:tcPr>
          <w:p w:rsid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</w:tcPr>
          <w:p w:rsid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3 млн. руб.</w:t>
            </w:r>
          </w:p>
        </w:tc>
      </w:tr>
      <w:tr w:rsidR="00EC5B1D" w:rsidTr="002060A6">
        <w:tc>
          <w:tcPr>
            <w:tcW w:w="817" w:type="dxa"/>
            <w:vMerge/>
          </w:tcPr>
          <w:p w:rsidR="00EC5B1D" w:rsidRPr="00EC376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EC5B1D" w:rsidRPr="00EC376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1134" w:type="dxa"/>
          </w:tcPr>
          <w:p w:rsid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EC5B1D" w:rsidRP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</w:t>
            </w:r>
          </w:p>
          <w:p w:rsid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 млн. руб.</w:t>
            </w:r>
          </w:p>
        </w:tc>
      </w:tr>
      <w:tr w:rsidR="00EC5B1D" w:rsidTr="002060A6">
        <w:tc>
          <w:tcPr>
            <w:tcW w:w="817" w:type="dxa"/>
            <w:vMerge/>
          </w:tcPr>
          <w:p w:rsidR="00EC5B1D" w:rsidRPr="00EC376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EC5B1D" w:rsidRPr="00EC376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5B1D" w:rsidRDefault="00EC5B1D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1134" w:type="dxa"/>
          </w:tcPr>
          <w:p w:rsid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EC5B1D" w:rsidRP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</w:t>
            </w:r>
          </w:p>
          <w:p w:rsid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 млн. руб.</w:t>
            </w:r>
          </w:p>
        </w:tc>
      </w:tr>
      <w:tr w:rsidR="00EC5B1D" w:rsidTr="002060A6">
        <w:tc>
          <w:tcPr>
            <w:tcW w:w="817" w:type="dxa"/>
            <w:vMerge/>
          </w:tcPr>
          <w:p w:rsidR="00EC5B1D" w:rsidRPr="00EC376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EC5B1D" w:rsidRPr="00EC376D" w:rsidRDefault="00EC5B1D" w:rsidP="00EC376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C5B1D" w:rsidRDefault="00EC5B1D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1134" w:type="dxa"/>
          </w:tcPr>
          <w:p w:rsid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EC5B1D" w:rsidRP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Более</w:t>
            </w:r>
          </w:p>
          <w:p w:rsidR="00EC5B1D" w:rsidRDefault="00EC5B1D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 млн.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руб.</w:t>
            </w:r>
          </w:p>
        </w:tc>
      </w:tr>
      <w:tr w:rsidR="00D031B2" w:rsidTr="002060A6">
        <w:tc>
          <w:tcPr>
            <w:tcW w:w="817" w:type="dxa"/>
            <w:vMerge w:val="restart"/>
          </w:tcPr>
          <w:p w:rsidR="00D031B2" w:rsidRDefault="00D031B2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D031B2" w:rsidRPr="00EC5B1D" w:rsidRDefault="00D031B2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Наличие фак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тов и размер возмещения убытков</w:t>
            </w: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выплаты компенсации сверх возмещения убытков из средств компенсационного фонда обеспечения договорных обязательств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Ассоциации </w:t>
            </w: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или за </w:t>
            </w:r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счет страхового возмещения вследствие неисполнения или ненадлежащего исполнения обязательств по договорам подряда на подготовку проектной документации, заключенным объектом контроля с использованием конкурентных способов заключения договоров и функций технического заказчика (совокупный размер договоров, заключенных объектом контроля в течение</w:t>
            </w:r>
            <w:proofErr w:type="gramEnd"/>
          </w:p>
          <w:p w:rsidR="00D031B2" w:rsidRPr="00EC376D" w:rsidRDefault="00D031B2" w:rsidP="00EC5B1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E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года)</w:t>
            </w:r>
            <w:proofErr w:type="gramEnd"/>
          </w:p>
        </w:tc>
        <w:tc>
          <w:tcPr>
            <w:tcW w:w="1843" w:type="dxa"/>
          </w:tcPr>
          <w:p w:rsidR="00D031B2" w:rsidRDefault="00D031B2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31B2" w:rsidRDefault="00D031B2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D031B2" w:rsidRDefault="00D031B2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031B2" w:rsidTr="002060A6">
        <w:tc>
          <w:tcPr>
            <w:tcW w:w="817" w:type="dxa"/>
            <w:vMerge/>
          </w:tcPr>
          <w:p w:rsidR="00D031B2" w:rsidRDefault="00D031B2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D031B2" w:rsidRDefault="00D031B2" w:rsidP="00D031B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Наличие </w:t>
            </w:r>
            <w:r w:rsidRPr="00D031B2">
              <w:rPr>
                <w:bCs/>
                <w:sz w:val="23"/>
                <w:szCs w:val="23"/>
              </w:rPr>
              <w:t xml:space="preserve">фактов </w:t>
            </w:r>
            <w:r>
              <w:rPr>
                <w:sz w:val="23"/>
                <w:szCs w:val="23"/>
              </w:rPr>
              <w:t>возмещения убытков</w:t>
            </w:r>
          </w:p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31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1134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31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D031B2" w:rsidTr="002060A6">
        <w:tc>
          <w:tcPr>
            <w:tcW w:w="817" w:type="dxa"/>
            <w:vMerge/>
          </w:tcPr>
          <w:p w:rsidR="00D031B2" w:rsidRDefault="00D031B2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D031B2" w:rsidRDefault="00D031B2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31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1134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31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1</w:t>
            </w:r>
          </w:p>
        </w:tc>
      </w:tr>
      <w:tr w:rsidR="00D031B2" w:rsidTr="002060A6">
        <w:tc>
          <w:tcPr>
            <w:tcW w:w="817" w:type="dxa"/>
            <w:vMerge/>
          </w:tcPr>
          <w:p w:rsidR="00D031B2" w:rsidRDefault="00D031B2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D031B2" w:rsidRDefault="00D031B2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31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1134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31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2</w:t>
            </w:r>
          </w:p>
        </w:tc>
      </w:tr>
      <w:tr w:rsidR="00D031B2" w:rsidTr="002060A6">
        <w:tc>
          <w:tcPr>
            <w:tcW w:w="817" w:type="dxa"/>
            <w:vMerge/>
          </w:tcPr>
          <w:p w:rsidR="00D031B2" w:rsidRDefault="00D031B2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D031B2" w:rsidRDefault="00D031B2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31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1134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31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3</w:t>
            </w:r>
          </w:p>
        </w:tc>
      </w:tr>
      <w:tr w:rsidR="00D031B2" w:rsidTr="002060A6">
        <w:tc>
          <w:tcPr>
            <w:tcW w:w="817" w:type="dxa"/>
            <w:vMerge/>
          </w:tcPr>
          <w:p w:rsidR="00D031B2" w:rsidRDefault="00D031B2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D031B2" w:rsidRDefault="00D031B2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31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1134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31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4</w:t>
            </w:r>
          </w:p>
        </w:tc>
      </w:tr>
      <w:tr w:rsidR="00D031B2" w:rsidTr="002060A6">
        <w:tc>
          <w:tcPr>
            <w:tcW w:w="817" w:type="dxa"/>
            <w:vMerge/>
          </w:tcPr>
          <w:p w:rsidR="00D031B2" w:rsidRDefault="00D031B2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D031B2" w:rsidRDefault="00D031B2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31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1134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D031B2" w:rsidRDefault="00D031B2" w:rsidP="00D031B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031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Более 5</w:t>
            </w:r>
          </w:p>
        </w:tc>
      </w:tr>
      <w:tr w:rsidR="00B43C5C" w:rsidTr="002060A6">
        <w:tc>
          <w:tcPr>
            <w:tcW w:w="817" w:type="dxa"/>
            <w:vMerge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2.2. Размер возмещения убытков и выплаты компенсации сверх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возмещения убытков из средств КФ ОДО или за счет страхового возмещения</w:t>
            </w:r>
          </w:p>
        </w:tc>
        <w:tc>
          <w:tcPr>
            <w:tcW w:w="1843" w:type="dxa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1134" w:type="dxa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B43C5C" w:rsidTr="002060A6">
        <w:tc>
          <w:tcPr>
            <w:tcW w:w="817" w:type="dxa"/>
            <w:vMerge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1134" w:type="dxa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</w:tcPr>
          <w:p w:rsidR="00B43C5C" w:rsidRP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</w:t>
            </w:r>
          </w:p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млн. руб.</w:t>
            </w:r>
          </w:p>
        </w:tc>
      </w:tr>
      <w:tr w:rsidR="00B43C5C" w:rsidTr="002060A6">
        <w:tc>
          <w:tcPr>
            <w:tcW w:w="817" w:type="dxa"/>
            <w:vMerge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1134" w:type="dxa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3 млн. руб.</w:t>
            </w:r>
          </w:p>
        </w:tc>
      </w:tr>
      <w:tr w:rsidR="00B43C5C" w:rsidTr="002060A6">
        <w:tc>
          <w:tcPr>
            <w:tcW w:w="817" w:type="dxa"/>
            <w:vMerge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1134" w:type="dxa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B43C5C" w:rsidRP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</w:t>
            </w:r>
          </w:p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 млн. руб.</w:t>
            </w:r>
          </w:p>
        </w:tc>
      </w:tr>
      <w:tr w:rsidR="00B43C5C" w:rsidTr="002060A6">
        <w:tc>
          <w:tcPr>
            <w:tcW w:w="817" w:type="dxa"/>
            <w:vMerge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1134" w:type="dxa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B43C5C" w:rsidRP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</w:t>
            </w:r>
          </w:p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 млн. руб.</w:t>
            </w:r>
          </w:p>
        </w:tc>
      </w:tr>
      <w:tr w:rsidR="00B43C5C" w:rsidTr="002060A6">
        <w:tc>
          <w:tcPr>
            <w:tcW w:w="817" w:type="dxa"/>
            <w:vMerge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1134" w:type="dxa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B43C5C" w:rsidRP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Более</w:t>
            </w:r>
          </w:p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 млн.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руб.</w:t>
            </w:r>
          </w:p>
        </w:tc>
      </w:tr>
      <w:tr w:rsidR="00B41D6B" w:rsidTr="002060A6">
        <w:trPr>
          <w:trHeight w:val="1715"/>
        </w:trPr>
        <w:tc>
          <w:tcPr>
            <w:tcW w:w="817" w:type="dxa"/>
            <w:vMerge w:val="restart"/>
          </w:tcPr>
          <w:p w:rsidR="00B41D6B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vMerge w:val="restart"/>
          </w:tcPr>
          <w:p w:rsidR="00B41D6B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3C5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Непринятие объектом контроля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объект контроля может направить на предотвращение нарушений, недостатков и недобросовестных действий при подготовке проектной документации и исполнение функций технического заказчика</w:t>
            </w:r>
          </w:p>
        </w:tc>
        <w:tc>
          <w:tcPr>
            <w:tcW w:w="1843" w:type="dxa"/>
          </w:tcPr>
          <w:p w:rsidR="00B41D6B" w:rsidRPr="00B43C5C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1134" w:type="dxa"/>
          </w:tcPr>
          <w:p w:rsidR="00B41D6B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B41D6B" w:rsidRPr="00B43C5C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B41D6B" w:rsidTr="002060A6">
        <w:trPr>
          <w:trHeight w:val="2539"/>
        </w:trPr>
        <w:tc>
          <w:tcPr>
            <w:tcW w:w="817" w:type="dxa"/>
            <w:vMerge/>
          </w:tcPr>
          <w:p w:rsidR="00B41D6B" w:rsidRPr="00B43C5C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B41D6B" w:rsidRPr="00B43C5C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D6B" w:rsidRPr="00B43C5C" w:rsidRDefault="00B41D6B" w:rsidP="00B41D6B">
            <w:pPr>
              <w:tabs>
                <w:tab w:val="left" w:pos="315"/>
              </w:tabs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1134" w:type="dxa"/>
          </w:tcPr>
          <w:p w:rsidR="00B41D6B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</w:tcPr>
          <w:p w:rsidR="00B41D6B" w:rsidRPr="00B43C5C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1</w:t>
            </w:r>
          </w:p>
        </w:tc>
      </w:tr>
      <w:tr w:rsidR="00B41D6B" w:rsidTr="002060A6">
        <w:trPr>
          <w:trHeight w:val="1975"/>
        </w:trPr>
        <w:tc>
          <w:tcPr>
            <w:tcW w:w="817" w:type="dxa"/>
            <w:vMerge/>
          </w:tcPr>
          <w:p w:rsidR="00B41D6B" w:rsidRPr="00B43C5C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B41D6B" w:rsidRPr="00B43C5C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D6B" w:rsidRPr="00B43C5C" w:rsidRDefault="00B41D6B" w:rsidP="00B41D6B">
            <w:pPr>
              <w:tabs>
                <w:tab w:val="left" w:pos="345"/>
              </w:tabs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1134" w:type="dxa"/>
          </w:tcPr>
          <w:p w:rsidR="00B41D6B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</w:tcPr>
          <w:p w:rsidR="00B41D6B" w:rsidRPr="00B43C5C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3</w:t>
            </w:r>
          </w:p>
        </w:tc>
      </w:tr>
      <w:tr w:rsidR="00B41D6B" w:rsidTr="002060A6">
        <w:trPr>
          <w:trHeight w:val="1863"/>
        </w:trPr>
        <w:tc>
          <w:tcPr>
            <w:tcW w:w="817" w:type="dxa"/>
            <w:vMerge/>
          </w:tcPr>
          <w:p w:rsidR="00B41D6B" w:rsidRPr="00B43C5C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B41D6B" w:rsidRPr="00B43C5C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D6B" w:rsidRPr="00B43C5C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1134" w:type="dxa"/>
          </w:tcPr>
          <w:p w:rsidR="00B41D6B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B41D6B" w:rsidRPr="00B43C5C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4</w:t>
            </w:r>
          </w:p>
        </w:tc>
      </w:tr>
      <w:tr w:rsidR="00B41D6B" w:rsidTr="002060A6">
        <w:trPr>
          <w:trHeight w:val="1469"/>
        </w:trPr>
        <w:tc>
          <w:tcPr>
            <w:tcW w:w="817" w:type="dxa"/>
            <w:vMerge/>
          </w:tcPr>
          <w:p w:rsidR="00B41D6B" w:rsidRPr="00B43C5C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B41D6B" w:rsidRPr="00B43C5C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D6B" w:rsidRPr="00B43C5C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1134" w:type="dxa"/>
          </w:tcPr>
          <w:p w:rsidR="00B41D6B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B41D6B" w:rsidRPr="00B43C5C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5</w:t>
            </w:r>
          </w:p>
        </w:tc>
      </w:tr>
      <w:tr w:rsidR="00B41D6B" w:rsidTr="002060A6">
        <w:trPr>
          <w:trHeight w:val="1817"/>
        </w:trPr>
        <w:tc>
          <w:tcPr>
            <w:tcW w:w="817" w:type="dxa"/>
            <w:vMerge/>
          </w:tcPr>
          <w:p w:rsidR="00B41D6B" w:rsidRPr="00B43C5C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B41D6B" w:rsidRPr="00B43C5C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D6B" w:rsidRPr="00B43C5C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1134" w:type="dxa"/>
          </w:tcPr>
          <w:p w:rsidR="00B41D6B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B41D6B" w:rsidRPr="00B43C5C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Более 5</w:t>
            </w:r>
          </w:p>
        </w:tc>
      </w:tr>
      <w:tr w:rsidR="00B43C5C" w:rsidTr="002060A6">
        <w:tc>
          <w:tcPr>
            <w:tcW w:w="817" w:type="dxa"/>
          </w:tcPr>
          <w:p w:rsidR="00B43C5C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B43C5C" w:rsidRDefault="00B41D6B" w:rsidP="00B41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Фактический максимальный уровень ответственности члена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Ассоциации </w:t>
            </w: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одному договору подряда на подготовку проектной документации и/или договору на исполнение функций технического заказчика, заключенному в течение отчетного год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</w:tcPr>
          <w:p w:rsidR="00B43C5C" w:rsidRP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B43C5C" w:rsidRP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41D6B" w:rsidTr="002060A6">
        <w:tc>
          <w:tcPr>
            <w:tcW w:w="817" w:type="dxa"/>
            <w:vMerge w:val="restart"/>
          </w:tcPr>
          <w:p w:rsidR="00B41D6B" w:rsidRPr="00B41D6B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B41D6B" w:rsidRPr="00B41D6B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 Первый уровень ответственности – до 25 млн. руб.</w:t>
            </w:r>
          </w:p>
          <w:p w:rsidR="00B41D6B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Фактическая стоимость работ по одному договору подряда на подготовку проектной документации, выполненной объектом контроля (в течение отчетного года)</w:t>
            </w:r>
          </w:p>
        </w:tc>
        <w:tc>
          <w:tcPr>
            <w:tcW w:w="1843" w:type="dxa"/>
          </w:tcPr>
          <w:p w:rsidR="00B41D6B" w:rsidRPr="00B43C5C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1134" w:type="dxa"/>
          </w:tcPr>
          <w:p w:rsidR="00B41D6B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B41D6B" w:rsidRPr="00B41D6B" w:rsidRDefault="00B41D6B" w:rsidP="00B41D6B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превышает</w:t>
            </w:r>
          </w:p>
          <w:p w:rsidR="00B41D6B" w:rsidRPr="00B43C5C" w:rsidRDefault="00B41D6B" w:rsidP="00B41D6B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млн. руб.</w:t>
            </w:r>
          </w:p>
        </w:tc>
      </w:tr>
      <w:tr w:rsidR="00B41D6B" w:rsidTr="002060A6">
        <w:tc>
          <w:tcPr>
            <w:tcW w:w="817" w:type="dxa"/>
            <w:vMerge/>
          </w:tcPr>
          <w:p w:rsidR="00B41D6B" w:rsidRPr="00B41D6B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B41D6B" w:rsidRPr="00B41D6B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D6B" w:rsidRPr="00B43C5C" w:rsidRDefault="00B41D6B" w:rsidP="00B41D6B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1134" w:type="dxa"/>
          </w:tcPr>
          <w:p w:rsidR="00B41D6B" w:rsidRDefault="00B41D6B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</w:tcPr>
          <w:p w:rsidR="00B41D6B" w:rsidRPr="00B41D6B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превышает</w:t>
            </w:r>
          </w:p>
          <w:p w:rsidR="00B41D6B" w:rsidRPr="00B43C5C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 млн. руб.</w:t>
            </w:r>
          </w:p>
        </w:tc>
      </w:tr>
      <w:tr w:rsidR="00B41D6B" w:rsidTr="002060A6">
        <w:tc>
          <w:tcPr>
            <w:tcW w:w="817" w:type="dxa"/>
            <w:vMerge/>
          </w:tcPr>
          <w:p w:rsidR="00B41D6B" w:rsidRPr="00B41D6B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B41D6B" w:rsidRPr="00B41D6B" w:rsidRDefault="00B41D6B" w:rsidP="00B41D6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1D6B" w:rsidRPr="00B43C5C" w:rsidRDefault="00B41D6B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1D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1134" w:type="dxa"/>
          </w:tcPr>
          <w:p w:rsidR="00B41D6B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превышает</w:t>
            </w:r>
          </w:p>
          <w:p w:rsidR="00B41D6B" w:rsidRP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 млн. руб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B43C5C" w:rsidTr="002060A6">
        <w:tc>
          <w:tcPr>
            <w:tcW w:w="817" w:type="dxa"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4.2. Второй уровень ответственности – до 50 млн.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руб.</w:t>
            </w:r>
          </w:p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Фактическая стоимость работ по одному договору подряда на подготовку проектной документации, выполненных объектом контроля</w:t>
            </w:r>
          </w:p>
          <w:p w:rsid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(в течение отчетного года)</w:t>
            </w:r>
          </w:p>
        </w:tc>
        <w:tc>
          <w:tcPr>
            <w:tcW w:w="1843" w:type="dxa"/>
          </w:tcPr>
          <w:p w:rsidR="00B43C5C" w:rsidRPr="00B43C5C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1134" w:type="dxa"/>
          </w:tcPr>
          <w:p w:rsidR="00B43C5C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превышает</w:t>
            </w:r>
          </w:p>
          <w:p w:rsidR="00B43C5C" w:rsidRP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 млн. руб.</w:t>
            </w:r>
          </w:p>
        </w:tc>
      </w:tr>
      <w:tr w:rsidR="00B43C5C" w:rsidTr="002060A6">
        <w:tc>
          <w:tcPr>
            <w:tcW w:w="817" w:type="dxa"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4.3. Третий уровень ответственности – до 300 млн.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руб.</w:t>
            </w:r>
          </w:p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Фактическая стоимость работ по одному договору подряда на подготовку проектной документации, выполненных объектом контроля</w:t>
            </w:r>
          </w:p>
          <w:p w:rsid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(в течение отчетного года)</w:t>
            </w:r>
          </w:p>
        </w:tc>
        <w:tc>
          <w:tcPr>
            <w:tcW w:w="1843" w:type="dxa"/>
          </w:tcPr>
          <w:p w:rsidR="00B43C5C" w:rsidRPr="00B43C5C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Высокий риск</w:t>
            </w:r>
          </w:p>
        </w:tc>
        <w:tc>
          <w:tcPr>
            <w:tcW w:w="1134" w:type="dxa"/>
          </w:tcPr>
          <w:p w:rsidR="00B43C5C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превышает</w:t>
            </w:r>
          </w:p>
          <w:p w:rsidR="00B43C5C" w:rsidRP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 млн.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руб.</w:t>
            </w:r>
          </w:p>
        </w:tc>
      </w:tr>
      <w:tr w:rsidR="00B43C5C" w:rsidTr="002060A6">
        <w:tc>
          <w:tcPr>
            <w:tcW w:w="817" w:type="dxa"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4.4. Четвертый уровень ответственности – 300 млн.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руб. и более</w:t>
            </w:r>
          </w:p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Фактическая стоимость работ по одному договору подряда на подготовку проектной документации, выполненных объектом контроля</w:t>
            </w:r>
          </w:p>
          <w:p w:rsid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(в течение отчетного года)</w:t>
            </w:r>
          </w:p>
        </w:tc>
        <w:tc>
          <w:tcPr>
            <w:tcW w:w="1843" w:type="dxa"/>
          </w:tcPr>
          <w:p w:rsidR="00B43C5C" w:rsidRPr="00B43C5C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1134" w:type="dxa"/>
          </w:tcPr>
          <w:p w:rsidR="00B43C5C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Составляет 50 млн.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руб.</w:t>
            </w:r>
          </w:p>
          <w:p w:rsidR="00B43C5C" w:rsidRP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более</w:t>
            </w:r>
          </w:p>
        </w:tc>
      </w:tr>
      <w:tr w:rsidR="00B43C5C" w:rsidTr="002060A6">
        <w:tc>
          <w:tcPr>
            <w:tcW w:w="817" w:type="dxa"/>
          </w:tcPr>
          <w:p w:rsid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Фактический максимальный уровень ответственности члена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Ассоциации</w:t>
            </w: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 договорам подряда на подготовку проектной документации и/или договорам на исполнение функций технического заказчика, заключенными с использованием конкурентных способов заключения договоров</w:t>
            </w:r>
          </w:p>
          <w:p w:rsid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(совокупная стоимость договоров, заключенных объектом контроля в течение отчетного года)</w:t>
            </w:r>
          </w:p>
        </w:tc>
        <w:tc>
          <w:tcPr>
            <w:tcW w:w="1843" w:type="dxa"/>
          </w:tcPr>
          <w:p w:rsidR="00B43C5C" w:rsidRP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B43C5C" w:rsidRPr="00B43C5C" w:rsidRDefault="00B43C5C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F4BAD" w:rsidTr="002060A6">
        <w:tc>
          <w:tcPr>
            <w:tcW w:w="817" w:type="dxa"/>
            <w:vMerge w:val="restart"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5.1. Первый уровень ответственности – до 25 млн. руб.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Фактическая совокупная стоимость договоров, заключенных объектом контроля в течение отчетного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</w:tcPr>
          <w:p w:rsidR="00DF4BAD" w:rsidRPr="00B43C5C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1134" w:type="dxa"/>
          </w:tcPr>
          <w:p w:rsidR="00DF4BAD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превышает</w:t>
            </w:r>
          </w:p>
          <w:p w:rsidR="00DF4BAD" w:rsidRP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млн. руб.</w:t>
            </w:r>
          </w:p>
        </w:tc>
      </w:tr>
      <w:tr w:rsidR="00DF4BAD" w:rsidTr="002060A6">
        <w:tc>
          <w:tcPr>
            <w:tcW w:w="817" w:type="dxa"/>
            <w:vMerge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4BAD" w:rsidRPr="00B43C5C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1134" w:type="dxa"/>
          </w:tcPr>
          <w:p w:rsidR="00DF4BAD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превышает</w:t>
            </w:r>
          </w:p>
          <w:p w:rsidR="00DF4BAD" w:rsidRP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 млн. руб.</w:t>
            </w:r>
          </w:p>
        </w:tc>
      </w:tr>
      <w:tr w:rsidR="00DF4BAD" w:rsidTr="002060A6">
        <w:tc>
          <w:tcPr>
            <w:tcW w:w="817" w:type="dxa"/>
            <w:vMerge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4BAD" w:rsidRPr="00B43C5C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1134" w:type="dxa"/>
          </w:tcPr>
          <w:p w:rsidR="00DF4BAD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превышает</w:t>
            </w:r>
          </w:p>
          <w:p w:rsidR="00DF4BAD" w:rsidRP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 млн. руб.</w:t>
            </w:r>
          </w:p>
        </w:tc>
      </w:tr>
      <w:tr w:rsidR="00B43C5C" w:rsidTr="002060A6">
        <w:tc>
          <w:tcPr>
            <w:tcW w:w="817" w:type="dxa"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5.2. Второй уровень ответственности – до 50 млн.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руб.</w:t>
            </w:r>
          </w:p>
          <w:p w:rsid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Фактическая совокупная стоимость договоров, заключенных объектом контроля в течение отчетного года</w:t>
            </w:r>
          </w:p>
        </w:tc>
        <w:tc>
          <w:tcPr>
            <w:tcW w:w="1843" w:type="dxa"/>
          </w:tcPr>
          <w:p w:rsidR="00B43C5C" w:rsidRPr="00B43C5C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1134" w:type="dxa"/>
          </w:tcPr>
          <w:p w:rsidR="00B43C5C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превышает</w:t>
            </w:r>
          </w:p>
          <w:p w:rsidR="00B43C5C" w:rsidRP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 млн. руб.</w:t>
            </w:r>
          </w:p>
        </w:tc>
      </w:tr>
      <w:tr w:rsidR="00B43C5C" w:rsidTr="002060A6">
        <w:tc>
          <w:tcPr>
            <w:tcW w:w="817" w:type="dxa"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5.3. Третий уровень ответственности – до 300 млн.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руб.</w:t>
            </w:r>
          </w:p>
          <w:p w:rsid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Фактическая совокупная стоимость договоров, заключенных объектом контроля в течение отчетного года</w:t>
            </w:r>
          </w:p>
        </w:tc>
        <w:tc>
          <w:tcPr>
            <w:tcW w:w="1843" w:type="dxa"/>
          </w:tcPr>
          <w:p w:rsidR="00B43C5C" w:rsidRPr="00B43C5C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1134" w:type="dxa"/>
          </w:tcPr>
          <w:p w:rsidR="00B43C5C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превышает</w:t>
            </w:r>
          </w:p>
          <w:p w:rsidR="00B43C5C" w:rsidRP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 млн.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руб.</w:t>
            </w:r>
          </w:p>
        </w:tc>
      </w:tr>
      <w:tr w:rsidR="00B43C5C" w:rsidTr="002060A6">
        <w:tc>
          <w:tcPr>
            <w:tcW w:w="817" w:type="dxa"/>
          </w:tcPr>
          <w:p w:rsidR="00B43C5C" w:rsidRDefault="00B43C5C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F4BAD" w:rsidRPr="00DF4BAD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5.4. Четвертый уровень ответственности – 300 млн.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руб. и более</w:t>
            </w:r>
          </w:p>
          <w:p w:rsidR="00B43C5C" w:rsidRDefault="00DF4BAD" w:rsidP="00DF4BA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Фактическая совокупная стоимость договоров, заключенных объектом контроля в течение отчетного года</w:t>
            </w:r>
          </w:p>
        </w:tc>
        <w:tc>
          <w:tcPr>
            <w:tcW w:w="1843" w:type="dxa"/>
          </w:tcPr>
          <w:p w:rsidR="00B43C5C" w:rsidRPr="00B43C5C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1134" w:type="dxa"/>
          </w:tcPr>
          <w:p w:rsidR="00B43C5C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B43C5C" w:rsidRPr="00B43C5C" w:rsidRDefault="00DF4BAD" w:rsidP="00B43C5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Составляет 50 млн.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F4B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руб. и более</w:t>
            </w:r>
          </w:p>
        </w:tc>
      </w:tr>
    </w:tbl>
    <w:p w:rsidR="00D03E25" w:rsidRDefault="00D03E25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A722D" w:rsidRDefault="00AA722D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060A6" w:rsidRPr="002060A6" w:rsidRDefault="002060A6" w:rsidP="002060A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риска.</w:t>
      </w:r>
    </w:p>
    <w:p w:rsidR="002060A6" w:rsidRPr="002060A6" w:rsidRDefault="002060A6" w:rsidP="002060A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 отсутствии каких-либо первичных данных и информации об объекте контроля показатель тяжести потенциальных негативных последствий устанавливается равным "Среднему риску".</w:t>
      </w:r>
    </w:p>
    <w:p w:rsidR="002060A6" w:rsidRPr="002060A6" w:rsidRDefault="002060A6" w:rsidP="002060A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Количественная оценка показателя вероятности несоблюдения обязательных требований выражается числовым значением, определяющим его уровень.</w:t>
      </w:r>
    </w:p>
    <w:p w:rsidR="002060A6" w:rsidRPr="002060A6" w:rsidRDefault="002060A6" w:rsidP="002060A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Для расчета показателя вероятности несоблюдения обязательных требований, оценка вероятности реализации риска учитывает вероятность реализации следующих факторов риска:</w:t>
      </w:r>
    </w:p>
    <w:p w:rsidR="002060A6" w:rsidRPr="002060A6" w:rsidRDefault="002060A6" w:rsidP="002060A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наличие внеплановых проверок, проведенных на основании жалобы на нарушение объектом контроля обязательных требований;</w:t>
      </w:r>
    </w:p>
    <w:p w:rsidR="002060A6" w:rsidRPr="002060A6" w:rsidRDefault="002060A6" w:rsidP="002060A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наличие решений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Ассоциации 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применении в отношении объекта контроля мер дисциплинарного воздействия;</w:t>
      </w:r>
    </w:p>
    <w:p w:rsidR="002060A6" w:rsidRPr="002060A6" w:rsidRDefault="002060A6" w:rsidP="002060A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наличие фактов нарушений соответствия выполняемых работ обязательным требованиям, допущенных объектом контроля при подготовке проектной документации (исполнение функций технического заказчика);</w:t>
      </w:r>
    </w:p>
    <w:p w:rsidR="002060A6" w:rsidRPr="002060A6" w:rsidRDefault="002060A6" w:rsidP="002060A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наличие </w:t>
      </w:r>
      <w:proofErr w:type="gramStart"/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фактов о предписаниях</w:t>
      </w:r>
      <w:proofErr w:type="gramEnd"/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органов государственного (муниципального) контроля (надзора), выданных объекту контроля;</w:t>
      </w:r>
    </w:p>
    <w:p w:rsidR="002060A6" w:rsidRPr="002060A6" w:rsidRDefault="002060A6" w:rsidP="002060A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наличие </w:t>
      </w:r>
      <w:proofErr w:type="gramStart"/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фактов о неисполнении</w:t>
      </w:r>
      <w:proofErr w:type="gramEnd"/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объектом контроля предписаний органов государственного (муниципального) контроля (надзора);</w:t>
      </w:r>
    </w:p>
    <w:p w:rsidR="002060A6" w:rsidRPr="002060A6" w:rsidRDefault="002060A6" w:rsidP="002060A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наличие фактов несоблюдения объектом контроля обязательных требований;</w:t>
      </w:r>
    </w:p>
    <w:p w:rsidR="002060A6" w:rsidRPr="002060A6" w:rsidRDefault="002060A6" w:rsidP="002060A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наличие фактов привлечения объекта контроля к административной ответственности;</w:t>
      </w:r>
    </w:p>
    <w:p w:rsidR="002060A6" w:rsidRPr="002060A6" w:rsidRDefault="002060A6" w:rsidP="002060A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наличие </w:t>
      </w:r>
      <w:proofErr w:type="gramStart"/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фактов о приостановлении</w:t>
      </w:r>
      <w:proofErr w:type="gramEnd"/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деятельности объекта контроля в качестве меры административного наказания;</w:t>
      </w:r>
    </w:p>
    <w:p w:rsidR="002060A6" w:rsidRPr="002060A6" w:rsidRDefault="002060A6" w:rsidP="002060A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наличие фактов о произошедших у объекта контроля несчастных случаях на производстве и авариях, связанных с выполнением работ по подготовке проектной документации (исполнение функций технического заказчика);</w:t>
      </w:r>
    </w:p>
    <w:p w:rsidR="002060A6" w:rsidRPr="002060A6" w:rsidRDefault="002060A6" w:rsidP="002060A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наличие фактов о находящихся в производстве судов исках к объекту контроля о возмещении вреда (убытка), связанного с недостатками выполненных работ по подготовке проектной документации и (или) вступивших в силу судебных решениях, согласно которым установлена вина объекта контроля в нанесении вреда (убытка), связанного с недостатками выполненных работ по подготовке проектной документации (исполнение функций технического заказчика).</w:t>
      </w:r>
      <w:proofErr w:type="gramEnd"/>
    </w:p>
    <w:p w:rsidR="002060A6" w:rsidRPr="002060A6" w:rsidRDefault="002060A6" w:rsidP="002060A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Контрольный комитет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Ассоциации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определяет вероятность реализации каждого фактора риска, исходя из фактических данных частоты </w:t>
      </w:r>
      <w:proofErr w:type="gramStart"/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проявлений фактора риска объект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контроля</w:t>
      </w:r>
      <w:proofErr w:type="gramEnd"/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A722D" w:rsidRDefault="002060A6" w:rsidP="002060A6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Для расчета показателя вероятности несоблюдения обязательных требований, установлена допустимая частота проявления каждого фактора риска за календарный год, а также шкала оценки от 1 до 6 с шагом 1, в которой 1 соответствует очень низкой вероятности реализации риска, 6 - чрезвычайно высокой вероятности реализации риска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AA722D" w:rsidRDefault="00AA722D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060A6" w:rsidRDefault="002060A6" w:rsidP="002060A6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Шкала оценки вероятности реализации риска для расчета</w:t>
      </w:r>
    </w:p>
    <w:p w:rsidR="002060A6" w:rsidRDefault="002060A6" w:rsidP="002060A6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вероятности несоблюдения обязательных требований</w:t>
      </w:r>
    </w:p>
    <w:p w:rsidR="002060A6" w:rsidRPr="002060A6" w:rsidRDefault="002060A6" w:rsidP="002060A6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допустимая частота проявления каждого фактора риска за календарный год</w:t>
      </w:r>
    </w:p>
    <w:p w:rsidR="00D03E25" w:rsidRDefault="002060A6" w:rsidP="002060A6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применении </w:t>
      </w:r>
      <w:proofErr w:type="gramStart"/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риск-ориентированного</w:t>
      </w:r>
      <w:proofErr w:type="gramEnd"/>
      <w:r w:rsidRPr="002060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подхода</w:t>
      </w:r>
    </w:p>
    <w:p w:rsidR="00D03E25" w:rsidRDefault="00D03E25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03E25" w:rsidRDefault="00D03E25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060A6" w:rsidRDefault="002060A6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76"/>
        <w:gridCol w:w="41"/>
        <w:gridCol w:w="3597"/>
        <w:gridCol w:w="2498"/>
        <w:gridCol w:w="796"/>
        <w:gridCol w:w="1863"/>
      </w:tblGrid>
      <w:tr w:rsidR="002060A6" w:rsidTr="00946C69">
        <w:tc>
          <w:tcPr>
            <w:tcW w:w="776" w:type="dxa"/>
          </w:tcPr>
          <w:p w:rsidR="002060A6" w:rsidRDefault="002060A6" w:rsidP="00D27F8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8" w:type="dxa"/>
            <w:gridSpan w:val="2"/>
          </w:tcPr>
          <w:p w:rsidR="002060A6" w:rsidRDefault="00D27F81" w:rsidP="00D27F8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Наименование фактора риска</w:t>
            </w:r>
          </w:p>
        </w:tc>
        <w:tc>
          <w:tcPr>
            <w:tcW w:w="2498" w:type="dxa"/>
          </w:tcPr>
          <w:p w:rsidR="002060A6" w:rsidRDefault="00D27F81" w:rsidP="00D27F8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Категория риска</w:t>
            </w:r>
          </w:p>
        </w:tc>
        <w:tc>
          <w:tcPr>
            <w:tcW w:w="796" w:type="dxa"/>
          </w:tcPr>
          <w:p w:rsidR="002060A6" w:rsidRDefault="00D27F81" w:rsidP="00D27F8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Значимость</w:t>
            </w:r>
          </w:p>
        </w:tc>
        <w:tc>
          <w:tcPr>
            <w:tcW w:w="1863" w:type="dxa"/>
          </w:tcPr>
          <w:p w:rsidR="002060A6" w:rsidRDefault="00D27F81" w:rsidP="00D27F8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Допустимые значения частоты проявления факторов риска за календарный год</w:t>
            </w:r>
          </w:p>
        </w:tc>
      </w:tr>
      <w:tr w:rsidR="00D27F81" w:rsidTr="00946C69">
        <w:tc>
          <w:tcPr>
            <w:tcW w:w="776" w:type="dxa"/>
            <w:vMerge w:val="restart"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8" w:type="dxa"/>
            <w:gridSpan w:val="2"/>
            <w:vMerge w:val="restart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Наличие внеплановых проверок, проведенных на основании жалобы (обращения) на нарушение объектом контроля обязательных требований</w:t>
            </w:r>
          </w:p>
        </w:tc>
        <w:tc>
          <w:tcPr>
            <w:tcW w:w="2498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796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D27F81" w:rsidTr="00946C69">
        <w:tc>
          <w:tcPr>
            <w:tcW w:w="776" w:type="dxa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796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2 раз</w:t>
            </w:r>
          </w:p>
        </w:tc>
      </w:tr>
      <w:tr w:rsidR="00D27F81" w:rsidTr="00946C69">
        <w:tc>
          <w:tcPr>
            <w:tcW w:w="776" w:type="dxa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796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4 раз</w:t>
            </w:r>
          </w:p>
        </w:tc>
      </w:tr>
      <w:tr w:rsidR="00D27F81" w:rsidTr="00946C69">
        <w:tc>
          <w:tcPr>
            <w:tcW w:w="776" w:type="dxa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796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6 раз</w:t>
            </w:r>
          </w:p>
        </w:tc>
      </w:tr>
      <w:tr w:rsidR="00D27F81" w:rsidTr="00946C69">
        <w:tc>
          <w:tcPr>
            <w:tcW w:w="776" w:type="dxa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796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8 раз</w:t>
            </w:r>
          </w:p>
        </w:tc>
      </w:tr>
      <w:tr w:rsidR="00D27F81" w:rsidTr="00946C69">
        <w:tc>
          <w:tcPr>
            <w:tcW w:w="776" w:type="dxa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796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Более 8 раз</w:t>
            </w:r>
          </w:p>
        </w:tc>
      </w:tr>
      <w:tr w:rsidR="00D27F81" w:rsidTr="00946C69">
        <w:tc>
          <w:tcPr>
            <w:tcW w:w="776" w:type="dxa"/>
            <w:vMerge w:val="restart"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8" w:type="dxa"/>
            <w:gridSpan w:val="2"/>
            <w:vMerge w:val="restart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Наличие решений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Ассоциации </w:t>
            </w: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 применении мер дисциплинарного воздействия в отношении объекта контроля</w:t>
            </w:r>
          </w:p>
        </w:tc>
        <w:tc>
          <w:tcPr>
            <w:tcW w:w="2498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796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D27F81" w:rsidTr="00946C69">
        <w:tc>
          <w:tcPr>
            <w:tcW w:w="776" w:type="dxa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796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2 раз</w:t>
            </w:r>
          </w:p>
        </w:tc>
      </w:tr>
      <w:tr w:rsidR="00D27F81" w:rsidTr="00946C69">
        <w:tc>
          <w:tcPr>
            <w:tcW w:w="776" w:type="dxa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796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4 раз</w:t>
            </w:r>
          </w:p>
        </w:tc>
      </w:tr>
      <w:tr w:rsidR="00D27F81" w:rsidTr="00946C69">
        <w:tc>
          <w:tcPr>
            <w:tcW w:w="776" w:type="dxa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796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6 раз</w:t>
            </w:r>
          </w:p>
        </w:tc>
      </w:tr>
      <w:tr w:rsidR="00D27F81" w:rsidTr="00946C69">
        <w:tc>
          <w:tcPr>
            <w:tcW w:w="776" w:type="dxa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796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8 раз</w:t>
            </w:r>
          </w:p>
        </w:tc>
      </w:tr>
      <w:tr w:rsidR="00D27F81" w:rsidTr="00946C69">
        <w:tc>
          <w:tcPr>
            <w:tcW w:w="776" w:type="dxa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D27F81" w:rsidRDefault="00D27F8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796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</w:tcPr>
          <w:p w:rsidR="00D27F81" w:rsidRDefault="00946C69" w:rsidP="00946C6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C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Более 8 раз</w:t>
            </w:r>
          </w:p>
        </w:tc>
      </w:tr>
      <w:tr w:rsidR="007600B0" w:rsidTr="00946C69">
        <w:tc>
          <w:tcPr>
            <w:tcW w:w="776" w:type="dxa"/>
            <w:vMerge w:val="restart"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8" w:type="dxa"/>
            <w:gridSpan w:val="2"/>
            <w:vMerge w:val="restart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Наличие фактов нарушений соответствия выполняемых работ по подготовке проектной документации (функций технического заказчика) обязательным требованиям, допущенных объектом контроля</w:t>
            </w: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2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4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6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8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Более 8 раз</w:t>
            </w:r>
          </w:p>
        </w:tc>
      </w:tr>
      <w:tr w:rsidR="007600B0" w:rsidTr="00946C69">
        <w:tc>
          <w:tcPr>
            <w:tcW w:w="776" w:type="dxa"/>
            <w:vMerge w:val="restart"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8" w:type="dxa"/>
            <w:gridSpan w:val="2"/>
            <w:vMerge w:val="restart"/>
          </w:tcPr>
          <w:p w:rsidR="006E4983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фактов о предписаниях</w:t>
            </w:r>
            <w:proofErr w:type="gramEnd"/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органов государственного (муниципального) контроля (надзора), выданных объекту контроля</w:t>
            </w:r>
          </w:p>
          <w:p w:rsidR="007600B0" w:rsidRPr="006E4983" w:rsidRDefault="007600B0" w:rsidP="006E4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2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4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6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8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Более 8 раз</w:t>
            </w:r>
          </w:p>
        </w:tc>
      </w:tr>
      <w:tr w:rsidR="007600B0" w:rsidTr="00946C69">
        <w:tc>
          <w:tcPr>
            <w:tcW w:w="776" w:type="dxa"/>
            <w:vMerge w:val="restart"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8" w:type="dxa"/>
            <w:gridSpan w:val="2"/>
            <w:vMerge w:val="restart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фактов о</w:t>
            </w:r>
            <w:r>
              <w:t xml:space="preserve"> </w:t>
            </w: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неисполнении</w:t>
            </w:r>
            <w:proofErr w:type="gramEnd"/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объектом контроля предписаний органов государственного (муниципального) контроля (надзора)</w:t>
            </w: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2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4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6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8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Более 8 раз</w:t>
            </w:r>
          </w:p>
        </w:tc>
      </w:tr>
      <w:tr w:rsidR="007600B0" w:rsidTr="00946C69">
        <w:tc>
          <w:tcPr>
            <w:tcW w:w="776" w:type="dxa"/>
            <w:vMerge w:val="restart"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8" w:type="dxa"/>
            <w:gridSpan w:val="2"/>
            <w:vMerge w:val="restart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Наличие фактов несоблюдения объектом контроля обязательных требований</w:t>
            </w: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2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4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6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8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796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Более 8 раз</w:t>
            </w:r>
          </w:p>
        </w:tc>
      </w:tr>
      <w:tr w:rsidR="007600B0" w:rsidTr="00946C69">
        <w:tc>
          <w:tcPr>
            <w:tcW w:w="776" w:type="dxa"/>
            <w:vMerge w:val="restart"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8" w:type="dxa"/>
            <w:gridSpan w:val="2"/>
            <w:vMerge w:val="restart"/>
          </w:tcPr>
          <w:p w:rsidR="007600B0" w:rsidRDefault="006E4983" w:rsidP="001322A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Наличие фактов привлечения </w:t>
            </w: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объекта контроля к административной ответственности</w:t>
            </w: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Низкий риск</w:t>
            </w:r>
          </w:p>
        </w:tc>
        <w:tc>
          <w:tcPr>
            <w:tcW w:w="796" w:type="dxa"/>
          </w:tcPr>
          <w:p w:rsidR="007600B0" w:rsidRDefault="001322A1" w:rsidP="001322A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7600B0" w:rsidRDefault="001322A1" w:rsidP="001322A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796" w:type="dxa"/>
          </w:tcPr>
          <w:p w:rsidR="007600B0" w:rsidRDefault="001322A1" w:rsidP="001322A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</w:tcPr>
          <w:p w:rsidR="007600B0" w:rsidRDefault="001322A1" w:rsidP="001322A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2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796" w:type="dxa"/>
          </w:tcPr>
          <w:p w:rsidR="007600B0" w:rsidRDefault="001322A1" w:rsidP="001322A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</w:tcPr>
          <w:p w:rsidR="007600B0" w:rsidRDefault="001322A1" w:rsidP="001322A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4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796" w:type="dxa"/>
          </w:tcPr>
          <w:p w:rsidR="007600B0" w:rsidRDefault="001322A1" w:rsidP="001322A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</w:tcPr>
          <w:p w:rsidR="007600B0" w:rsidRDefault="001322A1" w:rsidP="001322A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6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796" w:type="dxa"/>
          </w:tcPr>
          <w:p w:rsidR="007600B0" w:rsidRDefault="001322A1" w:rsidP="001322A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</w:tcPr>
          <w:p w:rsidR="007600B0" w:rsidRDefault="001322A1" w:rsidP="001322A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8 раз</w:t>
            </w:r>
          </w:p>
        </w:tc>
      </w:tr>
      <w:tr w:rsidR="007600B0" w:rsidTr="00946C69">
        <w:tc>
          <w:tcPr>
            <w:tcW w:w="776" w:type="dxa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  <w:vMerge/>
          </w:tcPr>
          <w:p w:rsidR="007600B0" w:rsidRDefault="007600B0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7600B0" w:rsidRDefault="006E4983" w:rsidP="006E4983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49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796" w:type="dxa"/>
          </w:tcPr>
          <w:p w:rsidR="007600B0" w:rsidRDefault="001322A1" w:rsidP="001322A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</w:tcPr>
          <w:p w:rsidR="007600B0" w:rsidRDefault="001322A1" w:rsidP="001322A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Более 8 раз</w:t>
            </w:r>
          </w:p>
        </w:tc>
      </w:tr>
      <w:tr w:rsidR="001322A1" w:rsidTr="001322A1">
        <w:tc>
          <w:tcPr>
            <w:tcW w:w="817" w:type="dxa"/>
            <w:gridSpan w:val="2"/>
            <w:vMerge w:val="restart"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7" w:type="dxa"/>
            <w:vMerge w:val="restart"/>
          </w:tcPr>
          <w:p w:rsidR="001322A1" w:rsidRDefault="001322A1" w:rsidP="001322A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фактов о приостановлении</w:t>
            </w:r>
            <w:proofErr w:type="gramEnd"/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деятельности объекта контроля в качестве меры административного наказания</w:t>
            </w: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322A1" w:rsidTr="001322A1">
        <w:tc>
          <w:tcPr>
            <w:tcW w:w="817" w:type="dxa"/>
            <w:gridSpan w:val="2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2 раз</w:t>
            </w:r>
          </w:p>
        </w:tc>
      </w:tr>
      <w:tr w:rsidR="001322A1" w:rsidTr="001322A1">
        <w:tc>
          <w:tcPr>
            <w:tcW w:w="817" w:type="dxa"/>
            <w:gridSpan w:val="2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</w:tcPr>
          <w:p w:rsidR="001322A1" w:rsidRDefault="00E3454F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345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4 раз</w:t>
            </w:r>
          </w:p>
        </w:tc>
      </w:tr>
      <w:tr w:rsidR="001322A1" w:rsidTr="001322A1">
        <w:tc>
          <w:tcPr>
            <w:tcW w:w="817" w:type="dxa"/>
            <w:gridSpan w:val="2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</w:tcPr>
          <w:p w:rsidR="001322A1" w:rsidRDefault="00E3454F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345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6 раз</w:t>
            </w:r>
          </w:p>
        </w:tc>
      </w:tr>
      <w:tr w:rsidR="001322A1" w:rsidTr="001322A1">
        <w:tc>
          <w:tcPr>
            <w:tcW w:w="817" w:type="dxa"/>
            <w:gridSpan w:val="2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</w:tcPr>
          <w:p w:rsidR="001322A1" w:rsidRDefault="00E3454F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345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8 раз</w:t>
            </w:r>
          </w:p>
        </w:tc>
      </w:tr>
      <w:tr w:rsidR="001322A1" w:rsidTr="001322A1">
        <w:tc>
          <w:tcPr>
            <w:tcW w:w="817" w:type="dxa"/>
            <w:gridSpan w:val="2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</w:tcPr>
          <w:p w:rsidR="001322A1" w:rsidRDefault="00E3454F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345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Более 8 раз</w:t>
            </w:r>
          </w:p>
        </w:tc>
      </w:tr>
      <w:tr w:rsidR="001322A1" w:rsidTr="001322A1">
        <w:tc>
          <w:tcPr>
            <w:tcW w:w="817" w:type="dxa"/>
            <w:gridSpan w:val="2"/>
            <w:vMerge w:val="restart"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7" w:type="dxa"/>
            <w:vMerge w:val="restart"/>
          </w:tcPr>
          <w:p w:rsidR="001322A1" w:rsidRDefault="001322A1" w:rsidP="001322A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Наличие фактов о произошедших у объекта контроля несчастных случаях на производстве и авариях, связанных с выполнением работ по подготовке проектной документации (исполнения функций технического заказчика)</w:t>
            </w: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1322A1" w:rsidRDefault="00E3454F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322A1" w:rsidTr="001322A1">
        <w:tc>
          <w:tcPr>
            <w:tcW w:w="817" w:type="dxa"/>
            <w:gridSpan w:val="2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</w:tcPr>
          <w:p w:rsidR="001322A1" w:rsidRDefault="00E3454F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345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2 раз</w:t>
            </w:r>
          </w:p>
        </w:tc>
      </w:tr>
      <w:tr w:rsidR="001322A1" w:rsidTr="001322A1">
        <w:tc>
          <w:tcPr>
            <w:tcW w:w="817" w:type="dxa"/>
            <w:gridSpan w:val="2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</w:tcPr>
          <w:p w:rsidR="001322A1" w:rsidRDefault="00E3454F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345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4 раз</w:t>
            </w:r>
          </w:p>
        </w:tc>
      </w:tr>
      <w:tr w:rsidR="001322A1" w:rsidTr="001322A1">
        <w:tc>
          <w:tcPr>
            <w:tcW w:w="817" w:type="dxa"/>
            <w:gridSpan w:val="2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</w:tcPr>
          <w:p w:rsidR="001322A1" w:rsidRDefault="00E3454F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345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6 раз</w:t>
            </w:r>
          </w:p>
        </w:tc>
      </w:tr>
      <w:tr w:rsidR="001322A1" w:rsidTr="001322A1">
        <w:tc>
          <w:tcPr>
            <w:tcW w:w="817" w:type="dxa"/>
            <w:gridSpan w:val="2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</w:tcPr>
          <w:p w:rsidR="001322A1" w:rsidRDefault="00E3454F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345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8 раз</w:t>
            </w:r>
          </w:p>
        </w:tc>
      </w:tr>
      <w:tr w:rsidR="001322A1" w:rsidTr="001322A1">
        <w:tc>
          <w:tcPr>
            <w:tcW w:w="817" w:type="dxa"/>
            <w:gridSpan w:val="2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</w:tcPr>
          <w:p w:rsidR="001322A1" w:rsidRDefault="00E3454F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345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Более 8 раз</w:t>
            </w:r>
          </w:p>
        </w:tc>
      </w:tr>
      <w:tr w:rsidR="001322A1" w:rsidTr="001322A1">
        <w:tc>
          <w:tcPr>
            <w:tcW w:w="817" w:type="dxa"/>
            <w:gridSpan w:val="2"/>
            <w:vMerge w:val="restart"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7" w:type="dxa"/>
            <w:vMerge w:val="restart"/>
          </w:tcPr>
          <w:p w:rsidR="001322A1" w:rsidRDefault="001322A1" w:rsidP="001322A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Наличие фактов о находящихся в производстве судов исках к объекту контроля о возмещении вреда (убытка), связанного с недостатками выполненных работ по подготовке проектной документации (исполнения функций технического заказчика) и (или) вступивших в силу судебных решениях, согласно которым</w:t>
            </w:r>
            <w:r>
              <w:t xml:space="preserve"> </w:t>
            </w: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установлена вина объекта контроля в нанесении вреда (убытка), связанного с недостатками выполненных работ по подготовке проектной документации (исполнения функций технического заказчика</w:t>
            </w:r>
            <w:proofErr w:type="gramEnd"/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Низкий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1322A1" w:rsidRDefault="00E3454F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322A1" w:rsidTr="001322A1">
        <w:tc>
          <w:tcPr>
            <w:tcW w:w="817" w:type="dxa"/>
            <w:gridSpan w:val="2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3" w:type="dxa"/>
          </w:tcPr>
          <w:p w:rsidR="001322A1" w:rsidRDefault="00E3454F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345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2 раз</w:t>
            </w:r>
          </w:p>
        </w:tc>
      </w:tr>
      <w:tr w:rsidR="001322A1" w:rsidTr="001322A1">
        <w:tc>
          <w:tcPr>
            <w:tcW w:w="817" w:type="dxa"/>
            <w:gridSpan w:val="2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Средний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3" w:type="dxa"/>
          </w:tcPr>
          <w:p w:rsidR="001322A1" w:rsidRDefault="00E3454F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345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4 раз</w:t>
            </w:r>
          </w:p>
        </w:tc>
      </w:tr>
      <w:tr w:rsidR="001322A1" w:rsidTr="001322A1">
        <w:tc>
          <w:tcPr>
            <w:tcW w:w="817" w:type="dxa"/>
            <w:gridSpan w:val="2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</w:tcPr>
          <w:p w:rsidR="001322A1" w:rsidRDefault="00E3454F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345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6 раз</w:t>
            </w:r>
          </w:p>
        </w:tc>
      </w:tr>
      <w:tr w:rsidR="001322A1" w:rsidTr="001322A1">
        <w:tc>
          <w:tcPr>
            <w:tcW w:w="817" w:type="dxa"/>
            <w:gridSpan w:val="2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3" w:type="dxa"/>
          </w:tcPr>
          <w:p w:rsidR="001322A1" w:rsidRDefault="00E3454F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345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более 8 раз</w:t>
            </w:r>
          </w:p>
        </w:tc>
      </w:tr>
      <w:tr w:rsidR="001322A1" w:rsidTr="001322A1">
        <w:tc>
          <w:tcPr>
            <w:tcW w:w="817" w:type="dxa"/>
            <w:gridSpan w:val="2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vMerge/>
          </w:tcPr>
          <w:p w:rsidR="001322A1" w:rsidRDefault="001322A1" w:rsidP="00AF7A8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322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Чрезвычайно высокий риск</w:t>
            </w:r>
          </w:p>
        </w:tc>
        <w:tc>
          <w:tcPr>
            <w:tcW w:w="796" w:type="dxa"/>
          </w:tcPr>
          <w:p w:rsidR="001322A1" w:rsidRDefault="001322A1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3" w:type="dxa"/>
          </w:tcPr>
          <w:p w:rsidR="001322A1" w:rsidRDefault="00E3454F" w:rsidP="00E3454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345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Более 8 раз</w:t>
            </w:r>
          </w:p>
        </w:tc>
      </w:tr>
    </w:tbl>
    <w:p w:rsidR="002060A6" w:rsidRDefault="002060A6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060A6" w:rsidRDefault="002060A6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3454F" w:rsidRPr="00E3454F" w:rsidRDefault="00E3454F" w:rsidP="00E3454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Показатель вероятности несоблюдения обязательных требований выражается числовым значением и определяется как средняя величина фактических </w:t>
      </w:r>
      <w:proofErr w:type="gramStart"/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значений вероятности реализации факторов риска</w:t>
      </w:r>
      <w:proofErr w:type="gramEnd"/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3454F" w:rsidRPr="00E3454F" w:rsidRDefault="00E3454F" w:rsidP="00E3454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 отсутствии каких-либо первичных данных и информации об объекте контроля показатель вероятности несоблюдения обязательных требований устанавливается равным "Среднему риску".</w:t>
      </w:r>
    </w:p>
    <w:p w:rsidR="00E3454F" w:rsidRPr="00E3454F" w:rsidRDefault="00E3454F" w:rsidP="00E3454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Итоговый результат расчета значений показателей </w:t>
      </w:r>
      <w:proofErr w:type="gramStart"/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риск-ориентированного</w:t>
      </w:r>
      <w:proofErr w:type="gramEnd"/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подхода выражается числовым значением и определяется как средняя величина значения 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показателя тяжести потенциальных негативных последствий и значения показателя вероятности несоблюдения обязательных требований.</w:t>
      </w:r>
    </w:p>
    <w:p w:rsidR="00E3454F" w:rsidRPr="00E3454F" w:rsidRDefault="00E3454F" w:rsidP="00E3454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Контрольный комитет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Ассоциации 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определяет итоговый результат расчета значений показателей </w:t>
      </w:r>
      <w:proofErr w:type="gramStart"/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риск-ориентированного</w:t>
      </w:r>
      <w:proofErr w:type="gramEnd"/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подхода.</w:t>
      </w:r>
    </w:p>
    <w:p w:rsidR="00E3454F" w:rsidRPr="00E3454F" w:rsidRDefault="00E3454F" w:rsidP="00E3454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 определении итогового результата расчета значений показателей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значимость риска определяется по целому числу, без использования округления.</w:t>
      </w:r>
    </w:p>
    <w:p w:rsidR="00E3454F" w:rsidRDefault="00E3454F" w:rsidP="00E3454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Итоговый результат расчета значений показателей </w:t>
      </w:r>
      <w:proofErr w:type="gramStart"/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риск-ориентированного</w:t>
      </w:r>
      <w:proofErr w:type="gramEnd"/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подхода используется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Ассоциацией 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принятия решения о проведении внеплановой проверки объекта контроля, деятельность которого связана с подготовкой проектной документации (исполнением функций технического заказчика) для строительства, реконструкции, капитального ремонта особо опасных, технически сложных и уникальных объектов.</w:t>
      </w:r>
    </w:p>
    <w:p w:rsidR="008512AA" w:rsidRDefault="008512AA" w:rsidP="00E3454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1681F" w:rsidRPr="00C1681F" w:rsidRDefault="00C1681F" w:rsidP="00C1681F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1681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ЗАКЛЮЧИТЕЛЬНЫЕ ПОЛОЖЕНИЯ</w:t>
      </w:r>
    </w:p>
    <w:p w:rsidR="00C1681F" w:rsidRPr="00E3454F" w:rsidRDefault="00C1681F" w:rsidP="00E3454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3454F" w:rsidRDefault="00E3454F" w:rsidP="00E3454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Изменения и дополнения, внесенные в настоящий Порядок, подлежат размещению на сайте </w:t>
      </w:r>
      <w:r w:rsid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Ассоциации 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сети Интернет и направляются в течение 3 (трех) дней, на бумажном и электронном носителях, в орган надзора за </w:t>
      </w:r>
      <w:r w:rsid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саморегулируемыми организациями</w:t>
      </w:r>
      <w:r w:rsidRPr="00E345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C1681F" w:rsidRDefault="00C1681F" w:rsidP="00E3454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3.2.</w:t>
      </w:r>
      <w:r w:rsidRP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Настоящи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 Порядок</w:t>
      </w:r>
      <w:r w:rsidRP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изменения, внесенные в настоящи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орядок</w:t>
      </w:r>
      <w:r w:rsidRP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решение о признании их </w:t>
      </w:r>
      <w:proofErr w:type="gramStart"/>
      <w:r w:rsidRP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утратившими</w:t>
      </w:r>
      <w:proofErr w:type="gramEnd"/>
      <w:r w:rsidRP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силу, вступают в силу не ранее чем через десять дней после дня их принятия (утверждения) постоянно действующим коллегиальным органом управления Ассоциации.</w:t>
      </w:r>
    </w:p>
    <w:p w:rsidR="00C1681F" w:rsidRPr="00E3454F" w:rsidRDefault="00C1681F" w:rsidP="00E3454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Положения </w:t>
      </w:r>
      <w:r w:rsidRP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P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</w:t>
      </w:r>
      <w:r w:rsidRP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должны противоречить законам и иным нормативным правовым актам Российской Федерации, а также Уставу Ассоциации. В случае если законами и иными нормативными правовыми актами Российской Федерации, а также Уставом Ассоциации установлены иные правила, чем предусмотренные настоящим 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орядком</w:t>
      </w:r>
      <w:r w:rsidRP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 применяются правила, установленные законами и иными нормативными правовыми актами Российской Федерации, а также Уставом Ассоциации.</w:t>
      </w:r>
    </w:p>
    <w:p w:rsidR="002060A6" w:rsidRDefault="00C1681F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C168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Настоящий Порядок вступает в силу со дня внесения сведений о нем в государственный реестр саморегулируемых организаций.</w:t>
      </w:r>
    </w:p>
    <w:p w:rsidR="002060A6" w:rsidRDefault="002060A6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060A6" w:rsidRDefault="002060A6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03E25" w:rsidRDefault="00D03E25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03E25" w:rsidRDefault="00D03E25" w:rsidP="00AF7A8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D03E2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1F" w:rsidRDefault="00C1681F" w:rsidP="00DD0CEA">
      <w:r>
        <w:separator/>
      </w:r>
    </w:p>
  </w:endnote>
  <w:endnote w:type="continuationSeparator" w:id="0">
    <w:p w:rsidR="00C1681F" w:rsidRDefault="00C1681F" w:rsidP="00DD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137561"/>
      <w:docPartObj>
        <w:docPartGallery w:val="Page Numbers (Bottom of Page)"/>
        <w:docPartUnique/>
      </w:docPartObj>
    </w:sdtPr>
    <w:sdtContent>
      <w:p w:rsidR="00C1681F" w:rsidRDefault="00C168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6ED">
          <w:rPr>
            <w:noProof/>
          </w:rPr>
          <w:t>4</w:t>
        </w:r>
        <w:r>
          <w:fldChar w:fldCharType="end"/>
        </w:r>
      </w:p>
    </w:sdtContent>
  </w:sdt>
  <w:p w:rsidR="00C1681F" w:rsidRDefault="00C168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1F" w:rsidRDefault="00C1681F" w:rsidP="00DD0CEA">
      <w:r>
        <w:separator/>
      </w:r>
    </w:p>
  </w:footnote>
  <w:footnote w:type="continuationSeparator" w:id="0">
    <w:p w:rsidR="00C1681F" w:rsidRDefault="00C1681F" w:rsidP="00DD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4294"/>
    <w:multiLevelType w:val="hybridMultilevel"/>
    <w:tmpl w:val="F1CC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51FB2"/>
    <w:multiLevelType w:val="multilevel"/>
    <w:tmpl w:val="033449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1F4529"/>
    <w:multiLevelType w:val="hybridMultilevel"/>
    <w:tmpl w:val="D660DAB0"/>
    <w:lvl w:ilvl="0" w:tplc="BA20149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C56C87"/>
    <w:multiLevelType w:val="hybridMultilevel"/>
    <w:tmpl w:val="C3B8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02"/>
    <w:rsid w:val="0002161D"/>
    <w:rsid w:val="00023C73"/>
    <w:rsid w:val="000904C0"/>
    <w:rsid w:val="000A44EB"/>
    <w:rsid w:val="000C150E"/>
    <w:rsid w:val="000F559A"/>
    <w:rsid w:val="001322A1"/>
    <w:rsid w:val="00143DB4"/>
    <w:rsid w:val="00164B57"/>
    <w:rsid w:val="0016646F"/>
    <w:rsid w:val="00180B1D"/>
    <w:rsid w:val="001927D9"/>
    <w:rsid w:val="001B7D76"/>
    <w:rsid w:val="001E786C"/>
    <w:rsid w:val="00205306"/>
    <w:rsid w:val="002060A6"/>
    <w:rsid w:val="0020654F"/>
    <w:rsid w:val="00221838"/>
    <w:rsid w:val="00221C82"/>
    <w:rsid w:val="002717CC"/>
    <w:rsid w:val="00294229"/>
    <w:rsid w:val="002A55FD"/>
    <w:rsid w:val="002A790C"/>
    <w:rsid w:val="00310702"/>
    <w:rsid w:val="003315A8"/>
    <w:rsid w:val="00335163"/>
    <w:rsid w:val="00367FF1"/>
    <w:rsid w:val="0038582D"/>
    <w:rsid w:val="003914BB"/>
    <w:rsid w:val="003921DA"/>
    <w:rsid w:val="003B3A83"/>
    <w:rsid w:val="003C5EBC"/>
    <w:rsid w:val="003E68E4"/>
    <w:rsid w:val="00400910"/>
    <w:rsid w:val="0040644A"/>
    <w:rsid w:val="004166F5"/>
    <w:rsid w:val="0046244E"/>
    <w:rsid w:val="00471C4C"/>
    <w:rsid w:val="00476AC9"/>
    <w:rsid w:val="00480B68"/>
    <w:rsid w:val="004872CF"/>
    <w:rsid w:val="004A7BAF"/>
    <w:rsid w:val="004B08A6"/>
    <w:rsid w:val="004B1308"/>
    <w:rsid w:val="004C00F2"/>
    <w:rsid w:val="004C4766"/>
    <w:rsid w:val="004E7968"/>
    <w:rsid w:val="00507819"/>
    <w:rsid w:val="00510C19"/>
    <w:rsid w:val="00510F41"/>
    <w:rsid w:val="00514C11"/>
    <w:rsid w:val="00544220"/>
    <w:rsid w:val="00580DEC"/>
    <w:rsid w:val="005A0A02"/>
    <w:rsid w:val="005A600A"/>
    <w:rsid w:val="005B7B27"/>
    <w:rsid w:val="005F3BC8"/>
    <w:rsid w:val="00603F77"/>
    <w:rsid w:val="006144C3"/>
    <w:rsid w:val="00621F04"/>
    <w:rsid w:val="00630460"/>
    <w:rsid w:val="006318AA"/>
    <w:rsid w:val="00643CE9"/>
    <w:rsid w:val="006526B1"/>
    <w:rsid w:val="006571AF"/>
    <w:rsid w:val="00675089"/>
    <w:rsid w:val="00682B8D"/>
    <w:rsid w:val="00691F43"/>
    <w:rsid w:val="006B15DB"/>
    <w:rsid w:val="006D4FD6"/>
    <w:rsid w:val="006E4983"/>
    <w:rsid w:val="00705F79"/>
    <w:rsid w:val="0071781C"/>
    <w:rsid w:val="00733B03"/>
    <w:rsid w:val="00744D10"/>
    <w:rsid w:val="007600B0"/>
    <w:rsid w:val="00804DCA"/>
    <w:rsid w:val="00810C4E"/>
    <w:rsid w:val="00812A00"/>
    <w:rsid w:val="00821E58"/>
    <w:rsid w:val="0083168D"/>
    <w:rsid w:val="008512AA"/>
    <w:rsid w:val="00853824"/>
    <w:rsid w:val="00853E0F"/>
    <w:rsid w:val="008725A3"/>
    <w:rsid w:val="008762DA"/>
    <w:rsid w:val="00892304"/>
    <w:rsid w:val="008A71FB"/>
    <w:rsid w:val="008F111C"/>
    <w:rsid w:val="00910F1E"/>
    <w:rsid w:val="00946C69"/>
    <w:rsid w:val="00977B52"/>
    <w:rsid w:val="0098415A"/>
    <w:rsid w:val="009A1575"/>
    <w:rsid w:val="009B2D0E"/>
    <w:rsid w:val="009C0941"/>
    <w:rsid w:val="009D78FE"/>
    <w:rsid w:val="009E703B"/>
    <w:rsid w:val="009E77A8"/>
    <w:rsid w:val="00A02DC7"/>
    <w:rsid w:val="00A85E4A"/>
    <w:rsid w:val="00A92754"/>
    <w:rsid w:val="00AA591D"/>
    <w:rsid w:val="00AA722D"/>
    <w:rsid w:val="00AB2C27"/>
    <w:rsid w:val="00AD4CAA"/>
    <w:rsid w:val="00AF7A82"/>
    <w:rsid w:val="00B038B6"/>
    <w:rsid w:val="00B068BC"/>
    <w:rsid w:val="00B20384"/>
    <w:rsid w:val="00B35C5D"/>
    <w:rsid w:val="00B37EE9"/>
    <w:rsid w:val="00B41D6B"/>
    <w:rsid w:val="00B43C5C"/>
    <w:rsid w:val="00B52C60"/>
    <w:rsid w:val="00B5433A"/>
    <w:rsid w:val="00B6643C"/>
    <w:rsid w:val="00B846ED"/>
    <w:rsid w:val="00B87BBC"/>
    <w:rsid w:val="00B87F8D"/>
    <w:rsid w:val="00B94D3A"/>
    <w:rsid w:val="00BA610B"/>
    <w:rsid w:val="00BB22FD"/>
    <w:rsid w:val="00BB2A3F"/>
    <w:rsid w:val="00BD2D03"/>
    <w:rsid w:val="00C1681F"/>
    <w:rsid w:val="00C2603B"/>
    <w:rsid w:val="00C33760"/>
    <w:rsid w:val="00C40670"/>
    <w:rsid w:val="00C40FB5"/>
    <w:rsid w:val="00C4244C"/>
    <w:rsid w:val="00C50439"/>
    <w:rsid w:val="00C50653"/>
    <w:rsid w:val="00C653A7"/>
    <w:rsid w:val="00C805D6"/>
    <w:rsid w:val="00C91545"/>
    <w:rsid w:val="00CA5C41"/>
    <w:rsid w:val="00CB6855"/>
    <w:rsid w:val="00CF5F84"/>
    <w:rsid w:val="00D031B2"/>
    <w:rsid w:val="00D03E25"/>
    <w:rsid w:val="00D27F81"/>
    <w:rsid w:val="00D708DF"/>
    <w:rsid w:val="00D71C6D"/>
    <w:rsid w:val="00DB222C"/>
    <w:rsid w:val="00DC3AEA"/>
    <w:rsid w:val="00DD0CEA"/>
    <w:rsid w:val="00DF4BAD"/>
    <w:rsid w:val="00E00880"/>
    <w:rsid w:val="00E16B5D"/>
    <w:rsid w:val="00E3454F"/>
    <w:rsid w:val="00E377CF"/>
    <w:rsid w:val="00E51E0F"/>
    <w:rsid w:val="00E9770F"/>
    <w:rsid w:val="00EA79F8"/>
    <w:rsid w:val="00EC376D"/>
    <w:rsid w:val="00EC5B1D"/>
    <w:rsid w:val="00ED47F4"/>
    <w:rsid w:val="00ED578B"/>
    <w:rsid w:val="00EE6E2A"/>
    <w:rsid w:val="00F06F70"/>
    <w:rsid w:val="00F126C4"/>
    <w:rsid w:val="00F15C9B"/>
    <w:rsid w:val="00F4241C"/>
    <w:rsid w:val="00F565D0"/>
    <w:rsid w:val="00F64BC1"/>
    <w:rsid w:val="00F66DA0"/>
    <w:rsid w:val="00F77583"/>
    <w:rsid w:val="00F81ECA"/>
    <w:rsid w:val="00FA004D"/>
    <w:rsid w:val="00FA0C20"/>
    <w:rsid w:val="00FA2E99"/>
    <w:rsid w:val="00FA6EBE"/>
    <w:rsid w:val="00FC6375"/>
    <w:rsid w:val="00FD6910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73"/>
    <w:pPr>
      <w:spacing w:after="0"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0CEA"/>
  </w:style>
  <w:style w:type="paragraph" w:styleId="a6">
    <w:name w:val="footer"/>
    <w:basedOn w:val="a"/>
    <w:link w:val="a7"/>
    <w:uiPriority w:val="99"/>
    <w:unhideWhenUsed/>
    <w:rsid w:val="00DD0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0CEA"/>
  </w:style>
  <w:style w:type="paragraph" w:styleId="a8">
    <w:name w:val="Balloon Text"/>
    <w:basedOn w:val="a"/>
    <w:link w:val="a9"/>
    <w:uiPriority w:val="99"/>
    <w:semiHidden/>
    <w:unhideWhenUsed/>
    <w:rsid w:val="00180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B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3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C3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73"/>
    <w:pPr>
      <w:spacing w:after="0"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0CEA"/>
  </w:style>
  <w:style w:type="paragraph" w:styleId="a6">
    <w:name w:val="footer"/>
    <w:basedOn w:val="a"/>
    <w:link w:val="a7"/>
    <w:uiPriority w:val="99"/>
    <w:unhideWhenUsed/>
    <w:rsid w:val="00DD0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0CEA"/>
  </w:style>
  <w:style w:type="paragraph" w:styleId="a8">
    <w:name w:val="Balloon Text"/>
    <w:basedOn w:val="a"/>
    <w:link w:val="a9"/>
    <w:uiPriority w:val="99"/>
    <w:semiHidden/>
    <w:unhideWhenUsed/>
    <w:rsid w:val="00180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B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3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C3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DFFE-7996-4CAC-81EF-8867440A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12</Pages>
  <Words>3741</Words>
  <Characters>21327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28</cp:revision>
  <cp:lastPrinted>2017-09-26T05:52:00Z</cp:lastPrinted>
  <dcterms:created xsi:type="dcterms:W3CDTF">2015-04-15T04:15:00Z</dcterms:created>
  <dcterms:modified xsi:type="dcterms:W3CDTF">2017-09-26T06:00:00Z</dcterms:modified>
</cp:coreProperties>
</file>